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sz w:val="44"/>
          <w:szCs w:val="44"/>
        </w:rPr>
      </w:pPr>
    </w:p>
    <w:p>
      <w:pPr>
        <w:ind w:firstLine="880"/>
        <w:jc w:val="center"/>
        <w:rPr>
          <w:sz w:val="44"/>
          <w:szCs w:val="44"/>
        </w:rPr>
      </w:pPr>
    </w:p>
    <w:p>
      <w:pPr>
        <w:ind w:firstLine="880"/>
        <w:jc w:val="center"/>
        <w:rPr>
          <w:sz w:val="44"/>
          <w:szCs w:val="44"/>
        </w:rPr>
      </w:pPr>
    </w:p>
    <w:p>
      <w:pPr>
        <w:ind w:firstLine="104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广东省社会科学院社会学一级学科硕士学位授权点202</w:t>
      </w:r>
      <w:r>
        <w:rPr>
          <w:rFonts w:ascii="方正小标宋_GBK" w:hAnsi="方正小标宋_GBK" w:eastAsia="方正小标宋_GBK" w:cs="方正小标宋_GBK"/>
          <w:sz w:val="52"/>
          <w:szCs w:val="52"/>
        </w:rPr>
        <w:t>3</w:t>
      </w:r>
      <w:r>
        <w:rPr>
          <w:rFonts w:hint="eastAsia" w:ascii="方正小标宋_GBK" w:hAnsi="方正小标宋_GBK" w:eastAsia="方正小标宋_GBK" w:cs="方正小标宋_GBK"/>
          <w:sz w:val="52"/>
          <w:szCs w:val="52"/>
        </w:rPr>
        <w:t>年度</w:t>
      </w:r>
    </w:p>
    <w:p>
      <w:pPr>
        <w:ind w:firstLine="1040"/>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建设报告</w:t>
      </w: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jc w:val="center"/>
        <w:rPr>
          <w:rFonts w:ascii="楷体" w:hAnsi="楷体" w:eastAsia="楷体" w:cs="楷体"/>
          <w:sz w:val="44"/>
          <w:szCs w:val="44"/>
        </w:rPr>
      </w:pPr>
    </w:p>
    <w:p>
      <w:pPr>
        <w:ind w:firstLine="880"/>
        <w:rPr>
          <w:rFonts w:ascii="楷体" w:hAnsi="楷体" w:eastAsia="楷体" w:cs="楷体"/>
          <w:sz w:val="44"/>
          <w:szCs w:val="44"/>
        </w:rPr>
      </w:pPr>
    </w:p>
    <w:p>
      <w:pPr>
        <w:ind w:firstLine="880"/>
        <w:jc w:val="center"/>
        <w:rPr>
          <w:rFonts w:ascii="楷体" w:hAnsi="楷体" w:eastAsia="楷体" w:cs="楷体"/>
          <w:sz w:val="44"/>
          <w:szCs w:val="44"/>
        </w:rPr>
      </w:pPr>
    </w:p>
    <w:p>
      <w:pPr>
        <w:ind w:firstLine="0" w:firstLineChars="0"/>
        <w:rPr>
          <w:rFonts w:ascii="楷体" w:hAnsi="楷体" w:eastAsia="楷体" w:cs="楷体"/>
          <w:sz w:val="44"/>
          <w:szCs w:val="44"/>
        </w:rPr>
      </w:pPr>
    </w:p>
    <w:p>
      <w:pPr>
        <w:ind w:firstLine="880"/>
        <w:jc w:val="center"/>
        <w:rPr>
          <w:rFonts w:ascii="楷体" w:hAnsi="楷体" w:eastAsia="楷体" w:cs="楷体"/>
          <w:sz w:val="44"/>
          <w:szCs w:val="44"/>
        </w:rPr>
      </w:pPr>
      <w:r>
        <w:rPr>
          <w:rFonts w:hint="eastAsia" w:ascii="楷体" w:hAnsi="楷体" w:eastAsia="楷体" w:cs="楷体"/>
          <w:sz w:val="44"/>
          <w:szCs w:val="44"/>
        </w:rPr>
        <w:t>广东省社会科学院</w:t>
      </w:r>
    </w:p>
    <w:p>
      <w:pPr>
        <w:spacing w:before="312" w:beforeLines="100"/>
        <w:ind w:firstLine="880"/>
        <w:jc w:val="center"/>
        <w:rPr>
          <w:rFonts w:ascii="楷体" w:hAnsi="楷体" w:eastAsia="楷体" w:cs="楷体"/>
          <w:sz w:val="44"/>
          <w:szCs w:val="44"/>
        </w:rPr>
      </w:pPr>
      <w:r>
        <w:rPr>
          <w:rFonts w:hint="eastAsia" w:ascii="楷体" w:hAnsi="楷体" w:eastAsia="楷体" w:cs="楷体"/>
          <w:sz w:val="44"/>
          <w:szCs w:val="44"/>
        </w:rPr>
        <w:t>202</w:t>
      </w:r>
      <w:r>
        <w:rPr>
          <w:rFonts w:ascii="楷体" w:hAnsi="楷体" w:eastAsia="楷体" w:cs="楷体"/>
          <w:sz w:val="44"/>
          <w:szCs w:val="44"/>
        </w:rPr>
        <w:t>4</w:t>
      </w:r>
      <w:r>
        <w:rPr>
          <w:rFonts w:hint="eastAsia" w:ascii="楷体" w:hAnsi="楷体" w:eastAsia="楷体" w:cs="楷体"/>
          <w:sz w:val="44"/>
          <w:szCs w:val="44"/>
        </w:rPr>
        <w:t>年</w:t>
      </w:r>
      <w:r>
        <w:rPr>
          <w:rFonts w:hint="eastAsia" w:ascii="楷体" w:hAnsi="楷体" w:eastAsia="楷体" w:cs="楷体"/>
          <w:sz w:val="44"/>
          <w:szCs w:val="44"/>
          <w:lang w:val="en-US" w:eastAsia="zh-CN"/>
        </w:rPr>
        <w:t>3</w:t>
      </w:r>
      <w:r>
        <w:rPr>
          <w:rFonts w:hint="eastAsia" w:ascii="楷体" w:hAnsi="楷体" w:eastAsia="楷体" w:cs="楷体"/>
          <w:sz w:val="44"/>
          <w:szCs w:val="44"/>
        </w:rPr>
        <w:t>月</w:t>
      </w:r>
    </w:p>
    <w:sdt>
      <w:sdtPr>
        <w:rPr>
          <w:rFonts w:ascii="Times New Roman" w:hAnsi="Times New Roman" w:eastAsia="宋体" w:cs="Times New Roman"/>
          <w:color w:val="auto"/>
          <w:kern w:val="2"/>
          <w:sz w:val="24"/>
          <w:szCs w:val="22"/>
          <w:lang w:val="zh-CN"/>
        </w:rPr>
        <w:id w:val="889845569"/>
        <w:docPartObj>
          <w:docPartGallery w:val="Table of Contents"/>
          <w:docPartUnique/>
        </w:docPartObj>
      </w:sdtPr>
      <w:sdtEndPr>
        <w:rPr>
          <w:rFonts w:ascii="Times New Roman" w:hAnsi="Times New Roman" w:eastAsia="宋体" w:cs="Times New Roman"/>
          <w:b/>
          <w:bCs/>
          <w:color w:val="auto"/>
          <w:kern w:val="2"/>
          <w:sz w:val="24"/>
          <w:szCs w:val="22"/>
          <w:lang w:val="zh-CN"/>
        </w:rPr>
      </w:sdtEndPr>
      <w:sdtContent>
        <w:p>
          <w:pPr>
            <w:pStyle w:val="23"/>
            <w:ind w:firstLine="480"/>
          </w:pPr>
          <w:r>
            <w:rPr>
              <w:lang w:val="zh-CN"/>
            </w:rPr>
            <w:t>目录</w:t>
          </w:r>
        </w:p>
        <w:p>
          <w:pPr>
            <w:pStyle w:val="8"/>
            <w:tabs>
              <w:tab w:val="right" w:leader="dot" w:pos="8296"/>
            </w:tabs>
            <w:ind w:firstLine="480"/>
            <w:rPr>
              <w:rFonts w:asciiTheme="minorHAnsi" w:hAnsiTheme="minorHAnsi" w:eastAsiaTheme="minorEastAsia" w:cstheme="minorBidi"/>
              <w:sz w:val="21"/>
              <w14:ligatures w14:val="standardContextual"/>
            </w:rPr>
          </w:pPr>
          <w:r>
            <w:fldChar w:fldCharType="begin"/>
          </w:r>
          <w:r>
            <w:instrText xml:space="preserve"> TOC \o "1-3" \h \z \u </w:instrText>
          </w:r>
          <w:r>
            <w:fldChar w:fldCharType="separate"/>
          </w:r>
          <w:r>
            <w:fldChar w:fldCharType="begin"/>
          </w:r>
          <w:r>
            <w:instrText xml:space="preserve"> HYPERLINK \l "_Toc157897000" </w:instrText>
          </w:r>
          <w:r>
            <w:fldChar w:fldCharType="separate"/>
          </w:r>
          <w:r>
            <w:rPr>
              <w:rStyle w:val="14"/>
            </w:rPr>
            <w:t>一、总体情况</w:t>
          </w:r>
          <w:r>
            <w:tab/>
          </w:r>
          <w:r>
            <w:fldChar w:fldCharType="begin"/>
          </w:r>
          <w:r>
            <w:instrText xml:space="preserve"> PAGEREF _Toc157897000 \h </w:instrText>
          </w:r>
          <w:r>
            <w:fldChar w:fldCharType="separate"/>
          </w:r>
          <w:r>
            <w:t>1</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"_Toc157897001" </w:instrText>
          </w:r>
          <w:r>
            <w:fldChar w:fldCharType="separate"/>
          </w:r>
          <w:r>
            <w:rPr>
              <w:rStyle w:val="14"/>
            </w:rPr>
            <w:t>（一）学位授权点基本情况</w:t>
          </w:r>
          <w:r>
            <w:tab/>
          </w:r>
          <w:r>
            <w:fldChar w:fldCharType="begin"/>
          </w:r>
          <w:r>
            <w:instrText xml:space="preserve"> PAGEREF _Toc157897001 \h </w:instrText>
          </w:r>
          <w:r>
            <w:fldChar w:fldCharType="separate"/>
          </w:r>
          <w:r>
            <w:t>1</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"_Toc157897002" </w:instrText>
          </w:r>
          <w:r>
            <w:fldChar w:fldCharType="separate"/>
          </w:r>
          <w:r>
            <w:rPr>
              <w:rStyle w:val="14"/>
            </w:rPr>
            <w:t>（二）培养目标和培养方向</w:t>
          </w:r>
          <w:r>
            <w:tab/>
          </w:r>
          <w:r>
            <w:fldChar w:fldCharType="begin"/>
          </w:r>
          <w:r>
            <w:instrText xml:space="preserve"> PAGEREF _Toc157897002 \h </w:instrText>
          </w:r>
          <w:r>
            <w:fldChar w:fldCharType="separate"/>
          </w:r>
          <w:r>
            <w:t>2</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"_Toc157897003" </w:instrText>
          </w:r>
          <w:r>
            <w:fldChar w:fldCharType="separate"/>
          </w:r>
          <w:r>
            <w:rPr>
              <w:rStyle w:val="14"/>
            </w:rPr>
            <w:t>（三）研究生规模及结构</w:t>
          </w:r>
          <w:r>
            <w:tab/>
          </w:r>
          <w:r>
            <w:fldChar w:fldCharType="begin"/>
          </w:r>
          <w:r>
            <w:instrText xml:space="preserve"> PAGEREF _Toc157897003 \h </w:instrText>
          </w:r>
          <w:r>
            <w:fldChar w:fldCharType="separate"/>
          </w:r>
          <w:r>
            <w:t>4</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"_Toc157897004" </w:instrText>
          </w:r>
          <w:r>
            <w:fldChar w:fldCharType="separate"/>
          </w:r>
          <w:r>
            <w:rPr>
              <w:rStyle w:val="14"/>
            </w:rPr>
            <w:t>（四）导师队伍</w:t>
          </w:r>
          <w:r>
            <w:tab/>
          </w:r>
          <w:r>
            <w:fldChar w:fldCharType="begin"/>
          </w:r>
          <w:r>
            <w:instrText xml:space="preserve"> PAGEREF _Toc157897004 \h </w:instrText>
          </w:r>
          <w:r>
            <w:fldChar w:fldCharType="separate"/>
          </w:r>
          <w:r>
            <w:t>4</w:t>
          </w:r>
          <w:r>
            <w:fldChar w:fldCharType="end"/>
          </w:r>
          <w:r>
            <w:fldChar w:fldCharType="end"/>
          </w:r>
        </w:p>
        <w:p>
          <w:pPr>
            <w:pStyle w:val="8"/>
            <w:tabs>
              <w:tab w:val="right" w:leader="dot" w:pos="8296"/>
            </w:tabs>
            <w:ind w:firstLine="480"/>
            <w:rPr>
              <w:rFonts w:asciiTheme="minorHAnsi" w:hAnsiTheme="minorHAnsi" w:eastAsiaTheme="minorEastAsia" w:cstheme="minorBidi"/>
              <w:sz w:val="21"/>
              <w14:ligatures w14:val="standardContextual"/>
            </w:rPr>
          </w:pPr>
          <w:r>
            <w:fldChar w:fldCharType="begin"/>
          </w:r>
          <w:r>
            <w:instrText xml:space="preserve"> HYPERLINK \l "_Toc157897005" </w:instrText>
          </w:r>
          <w:r>
            <w:fldChar w:fldCharType="separate"/>
          </w:r>
          <w:r>
            <w:rPr>
              <w:rStyle w:val="14"/>
            </w:rPr>
            <w:t>二、党建与思想政治教育工作</w:t>
          </w:r>
          <w:r>
            <w:tab/>
          </w:r>
          <w:r>
            <w:fldChar w:fldCharType="begin"/>
          </w:r>
          <w:r>
            <w:instrText xml:space="preserve"> PAGEREF _Toc157897005 \h </w:instrText>
          </w:r>
          <w:r>
            <w:fldChar w:fldCharType="separate"/>
          </w:r>
          <w:r>
            <w:t>6</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"_Toc157897006" </w:instrText>
          </w:r>
          <w:r>
            <w:fldChar w:fldCharType="separate"/>
          </w:r>
          <w:r>
            <w:rPr>
              <w:rStyle w:val="14"/>
            </w:rPr>
            <w:t>（一）党建和思想政治工作</w:t>
          </w:r>
          <w:r>
            <w:tab/>
          </w:r>
          <w:r>
            <w:fldChar w:fldCharType="begin"/>
          </w:r>
          <w:r>
            <w:instrText xml:space="preserve"> PAGEREF _Toc157897006 \h </w:instrText>
          </w:r>
          <w:r>
            <w:fldChar w:fldCharType="separate"/>
          </w:r>
          <w:r>
            <w:t>6</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"_Toc157897007" </w:instrText>
          </w:r>
          <w:r>
            <w:fldChar w:fldCharType="separate"/>
          </w:r>
          <w:r>
            <w:rPr>
              <w:rStyle w:val="14"/>
            </w:rPr>
            <w:t>（二）科学道德和学风教育</w:t>
          </w:r>
          <w:r>
            <w:tab/>
          </w:r>
          <w:r>
            <w:fldChar w:fldCharType="begin"/>
          </w:r>
          <w:r>
            <w:instrText xml:space="preserve"> PAGEREF _Toc157897007 \h </w:instrText>
          </w:r>
          <w:r>
            <w:fldChar w:fldCharType="separate"/>
          </w:r>
          <w:r>
            <w:t>8</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"_Toc157897008" </w:instrText>
          </w:r>
          <w:r>
            <w:fldChar w:fldCharType="separate"/>
          </w:r>
          <w:r>
            <w:rPr>
              <w:rStyle w:val="14"/>
            </w:rPr>
            <w:t>（三）师风师德建设</w:t>
          </w:r>
          <w:r>
            <w:tab/>
          </w:r>
          <w:r>
            <w:fldChar w:fldCharType="begin"/>
          </w:r>
          <w:r>
            <w:instrText xml:space="preserve"> PAGEREF _Toc157897008 \h </w:instrText>
          </w:r>
          <w:r>
            <w:fldChar w:fldCharType="separate"/>
          </w:r>
          <w:r>
            <w:t>9</w:t>
          </w:r>
          <w:r>
            <w:fldChar w:fldCharType="end"/>
          </w:r>
          <w:r>
            <w:fldChar w:fldCharType="end"/>
          </w:r>
        </w:p>
        <w:p>
          <w:pPr>
            <w:pStyle w:val="8"/>
            <w:tabs>
              <w:tab w:val="right" w:leader="dot" w:pos="8296"/>
            </w:tabs>
            <w:ind w:firstLine="480"/>
            <w:rPr>
              <w:rFonts w:asciiTheme="minorHAnsi" w:hAnsiTheme="minorHAnsi" w:eastAsiaTheme="minorEastAsia" w:cstheme="minorBidi"/>
              <w:sz w:val="21"/>
              <w14:ligatures w14:val="standardContextual"/>
            </w:rPr>
          </w:pPr>
          <w:r>
            <w:fldChar w:fldCharType="begin"/>
          </w:r>
          <w:r>
            <w:instrText xml:space="preserve"> HYPERLINK \l "_Toc157897009" </w:instrText>
          </w:r>
          <w:r>
            <w:fldChar w:fldCharType="separate"/>
          </w:r>
          <w:r>
            <w:rPr>
              <w:rStyle w:val="14"/>
            </w:rPr>
            <w:t>三、建设成效</w:t>
          </w:r>
          <w:r>
            <w:tab/>
          </w:r>
          <w:r>
            <w:fldChar w:fldCharType="begin"/>
          </w:r>
          <w:r>
            <w:instrText xml:space="preserve"> PAGEREF _Toc157897009 \h </w:instrText>
          </w:r>
          <w:r>
            <w:fldChar w:fldCharType="separate"/>
          </w:r>
          <w:r>
            <w:t>10</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"_Toc157897010" </w:instrText>
          </w:r>
          <w:r>
            <w:fldChar w:fldCharType="separate"/>
          </w:r>
          <w:r>
            <w:rPr>
              <w:rStyle w:val="14"/>
            </w:rPr>
            <w:t>（一）科研成果</w:t>
          </w:r>
          <w:r>
            <w:tab/>
          </w:r>
          <w:r>
            <w:fldChar w:fldCharType="begin"/>
          </w:r>
          <w:r>
            <w:instrText xml:space="preserve"> PAGEREF _Toc157897010 \h </w:instrText>
          </w:r>
          <w:r>
            <w:fldChar w:fldCharType="separate"/>
          </w:r>
          <w:r>
            <w:t>10</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"_Toc157897011" </w:instrText>
          </w:r>
          <w:r>
            <w:fldChar w:fldCharType="separate"/>
          </w:r>
          <w:r>
            <w:rPr>
              <w:rStyle w:val="14"/>
            </w:rPr>
            <w:t>（二）研究生培养</w:t>
          </w:r>
          <w:r>
            <w:tab/>
          </w:r>
          <w:r>
            <w:fldChar w:fldCharType="begin"/>
          </w:r>
          <w:r>
            <w:instrText xml:space="preserve"> PAGEREF _Toc157897011 \h </w:instrText>
          </w:r>
          <w:r>
            <w:fldChar w:fldCharType="separate"/>
          </w:r>
          <w:r>
            <w:t>11</w:t>
          </w:r>
          <w:r>
            <w:fldChar w:fldCharType="end"/>
          </w:r>
          <w:r>
            <w:fldChar w:fldCharType="end"/>
          </w:r>
        </w:p>
        <w:p>
          <w:pPr>
            <w:pStyle w:val="8"/>
            <w:tabs>
              <w:tab w:val="right" w:leader="dot" w:pos="8296"/>
            </w:tabs>
            <w:ind w:firstLine="480"/>
            <w:rPr>
              <w:rFonts w:asciiTheme="minorHAnsi" w:hAnsiTheme="minorHAnsi" w:eastAsiaTheme="minorEastAsia" w:cstheme="minorBidi"/>
              <w:sz w:val="21"/>
              <w14:ligatures w14:val="standardContextual"/>
            </w:rPr>
          </w:pPr>
          <w:r>
            <w:fldChar w:fldCharType="begin"/>
          </w:r>
          <w:r>
            <w:instrText xml:space="preserve"> HYPERLINK \l "_Toc157897012" </w:instrText>
          </w:r>
          <w:r>
            <w:fldChar w:fldCharType="separate"/>
          </w:r>
          <w:r>
            <w:rPr>
              <w:rStyle w:val="14"/>
            </w:rPr>
            <w:t>四、自我评估开展情况和持续改进计划</w:t>
          </w:r>
          <w:r>
            <w:tab/>
          </w:r>
          <w:r>
            <w:fldChar w:fldCharType="begin"/>
          </w:r>
          <w:r>
            <w:instrText xml:space="preserve"> PAGEREF _Toc157897012 \h </w:instrText>
          </w:r>
          <w:r>
            <w:fldChar w:fldCharType="separate"/>
          </w:r>
          <w:r>
            <w:t>16</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"_Toc157897013" </w:instrText>
          </w:r>
          <w:r>
            <w:fldChar w:fldCharType="separate"/>
          </w:r>
          <w:r>
            <w:rPr>
              <w:rStyle w:val="14"/>
            </w:rPr>
            <w:t>（一）学科自我评估进展及问题分析</w:t>
          </w:r>
          <w:r>
            <w:tab/>
          </w:r>
          <w:r>
            <w:fldChar w:fldCharType="begin"/>
          </w:r>
          <w:r>
            <w:instrText xml:space="preserve"> PAGEREF _Toc157897013 \h </w:instrText>
          </w:r>
          <w:r>
            <w:fldChar w:fldCharType="separate"/>
          </w:r>
          <w:r>
            <w:t>16</w:t>
          </w:r>
          <w:r>
            <w:fldChar w:fldCharType="end"/>
          </w:r>
          <w:r>
            <w:fldChar w:fldCharType="end"/>
          </w:r>
        </w:p>
        <w:p>
          <w:pPr>
            <w:pStyle w:val="10"/>
            <w:tabs>
              <w:tab w:val="right" w:leader="dot" w:pos="8296"/>
            </w:tabs>
            <w:ind w:left="480" w:firstLine="480"/>
            <w:rPr>
              <w:rFonts w:asciiTheme="minorHAnsi" w:hAnsiTheme="minorHAnsi" w:eastAsiaTheme="minorEastAsia" w:cstheme="minorBidi"/>
              <w:sz w:val="21"/>
              <w14:ligatures w14:val="standardContextual"/>
            </w:rPr>
          </w:pPr>
          <w:r>
            <w:fldChar w:fldCharType="begin"/>
          </w:r>
          <w:r>
            <w:instrText xml:space="preserve"> HYPERLINK \l "_Toc157897014" </w:instrText>
          </w:r>
          <w:r>
            <w:fldChar w:fldCharType="separate"/>
          </w:r>
          <w:r>
            <w:rPr>
              <w:rStyle w:val="14"/>
            </w:rPr>
            <w:t>（二）改进计划</w:t>
          </w:r>
          <w:r>
            <w:tab/>
          </w:r>
          <w:r>
            <w:fldChar w:fldCharType="begin"/>
          </w:r>
          <w:r>
            <w:instrText xml:space="preserve"> PAGEREF _Toc157897014 \h </w:instrText>
          </w:r>
          <w:r>
            <w:fldChar w:fldCharType="separate"/>
          </w:r>
          <w:r>
            <w:t>17</w:t>
          </w:r>
          <w:r>
            <w:fldChar w:fldCharType="end"/>
          </w:r>
          <w:r>
            <w:fldChar w:fldCharType="end"/>
          </w:r>
        </w:p>
        <w:p>
          <w:pPr>
            <w:ind w:firstLine="482"/>
          </w:pPr>
          <w:r>
            <w:rPr>
              <w:b/>
              <w:bCs/>
              <w:lang w:val="zh-CN"/>
            </w:rPr>
            <w:fldChar w:fldCharType="end"/>
          </w:r>
        </w:p>
      </w:sdtContent>
    </w:sdt>
    <w:p>
      <w:pPr>
        <w:spacing w:before="312" w:beforeLines="100"/>
        <w:ind w:firstLine="560"/>
        <w:jc w:val="center"/>
        <w:rPr>
          <w:rFonts w:ascii="楷体" w:hAnsi="楷体" w:eastAsia="楷体" w:cs="楷体"/>
          <w:sz w:val="28"/>
          <w:szCs w:val="28"/>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720" w:num="1"/>
          <w:docGrid w:type="lines" w:linePitch="312" w:charSpace="0"/>
        </w:sectPr>
      </w:pPr>
    </w:p>
    <w:p>
      <w:pPr>
        <w:pStyle w:val="3"/>
        <w:ind w:firstLine="643" w:firstLineChars="200"/>
        <w:rPr>
          <w:sz w:val="32"/>
          <w:szCs w:val="32"/>
        </w:rPr>
      </w:pPr>
      <w:bookmarkStart w:id="0" w:name="_Toc100943458"/>
      <w:bookmarkStart w:id="1" w:name="_Toc129542928"/>
      <w:bookmarkStart w:id="2" w:name="_Toc157897000"/>
      <w:r>
        <w:rPr>
          <w:rFonts w:hint="eastAsia"/>
          <w:sz w:val="32"/>
          <w:szCs w:val="32"/>
        </w:rPr>
        <w:t>一、</w:t>
      </w:r>
      <w:bookmarkEnd w:id="0"/>
      <w:bookmarkEnd w:id="1"/>
      <w:r>
        <w:rPr>
          <w:rFonts w:hint="eastAsia"/>
          <w:sz w:val="32"/>
          <w:szCs w:val="32"/>
        </w:rPr>
        <w:t>总体情况</w:t>
      </w:r>
      <w:bookmarkEnd w:id="2"/>
    </w:p>
    <w:p>
      <w:pPr>
        <w:pStyle w:val="4"/>
        <w:ind w:firstLine="602"/>
      </w:pPr>
      <w:bookmarkStart w:id="3" w:name="_Toc100943459"/>
      <w:bookmarkStart w:id="4" w:name="_Toc129542929"/>
      <w:bookmarkStart w:id="5" w:name="_Toc157897001"/>
      <w:r>
        <w:rPr>
          <w:rFonts w:hint="eastAsia"/>
        </w:rPr>
        <w:t>（一）</w:t>
      </w:r>
      <w:bookmarkEnd w:id="3"/>
      <w:bookmarkEnd w:id="4"/>
      <w:r>
        <w:rPr>
          <w:rFonts w:hint="eastAsia"/>
        </w:rPr>
        <w:t>学位授权点基本情况</w:t>
      </w:r>
      <w:bookmarkEnd w:id="5"/>
    </w:p>
    <w:p>
      <w:pPr>
        <w:ind w:firstLine="480"/>
      </w:pPr>
      <w:r>
        <w:rPr>
          <w:rFonts w:hint="eastAsia"/>
        </w:rPr>
        <w:t>2003年，我院获批人口学二级学科硕士学位授权点，2005年正式招生。2011年获批社会学一级学科硕士学位授权点，包括社会学、人口学、民俗学3个二级学科。本学位授权点以</w:t>
      </w:r>
      <w:bookmarkStart w:id="6" w:name="_Hlk518596632"/>
      <w:r>
        <w:rPr>
          <w:rFonts w:hint="eastAsia"/>
        </w:rPr>
        <w:t>“打造注重经世致用的社会学一级学科华南重镇”</w:t>
      </w:r>
      <w:bookmarkEnd w:id="6"/>
      <w:r>
        <w:rPr>
          <w:rFonts w:hint="eastAsia"/>
        </w:rPr>
        <w:t>为目标，从广东经济社会发展的实际出发，以社会需求为导向，开展理论与实践相结合的科学研究，坚持“立足广东社会，理论实践结合，注重应用研究”。通过社会学、人口学和民俗学三大科研创新团队，</w:t>
      </w:r>
      <w:r>
        <w:rPr>
          <w:rFonts w:hint="eastAsia"/>
          <w:highlight w:val="none"/>
        </w:rPr>
        <w:t>瞄准基层实践开展</w:t>
      </w:r>
      <w:r>
        <w:rPr>
          <w:rFonts w:hint="eastAsia"/>
        </w:rPr>
        <w:t>扎实社会调查，产出了众多具有较高学术影响的理论成果，</w:t>
      </w:r>
      <w:r>
        <w:rPr>
          <w:rFonts w:hint="eastAsia"/>
          <w:highlight w:val="none"/>
        </w:rPr>
        <w:t>政策咨询服务获得广泛好评，</w:t>
      </w:r>
      <w:r>
        <w:rPr>
          <w:rFonts w:hint="eastAsia"/>
        </w:rPr>
        <w:t>多项专报和调研报告获得省委省政府领导的肯定性批示，发挥了重要智库作用。</w:t>
      </w:r>
    </w:p>
    <w:p>
      <w:pPr>
        <w:pStyle w:val="21"/>
        <w:spacing w:line="360" w:lineRule="auto"/>
        <w:ind w:firstLine="480" w:firstLineChars="200"/>
        <w:rPr>
          <w:color w:val="auto"/>
        </w:rPr>
      </w:pPr>
      <w:r>
        <w:rPr>
          <w:rFonts w:hint="eastAsia"/>
          <w:color w:val="auto"/>
        </w:rPr>
        <w:t>202</w:t>
      </w:r>
      <w:r>
        <w:rPr>
          <w:color w:val="auto"/>
        </w:rPr>
        <w:t>3</w:t>
      </w:r>
      <w:r>
        <w:rPr>
          <w:rFonts w:hint="eastAsia"/>
          <w:color w:val="auto"/>
        </w:rPr>
        <w:t>年，本学位授权点延伸我院既有优势，培养兼具较强专业知识和先进技术应用能力、理论与方法扎实、高素质、国际化的理论研究和实践操作型复合型高层次人才。一是利用生师比高的优势，不断完善“一对一（多对一）”“师徒制”研究生培养模式。二是以科研项目、课题育人，推进研究生深度参与契合广东经济社会发展需求的应用决策研究。广东作为我国经济总量第一大省、人口第一大省、流动人口第一大省，社会结构复杂多元，为社会学研究提供了丰富的素材；同时，广东省社会科学院以省委、省政府信得过、靠得住、用得上的“思想库”和“智囊团”为己任，长期深度参与广东各级政府的发展规划、政策设计和决策咨询，积极为广东社会发展和改革创新出谋划策。本学位点将课题研究融入研究生培养全过程，让学生深度参与其中，使研究生得以近距离观察、感受和参与“接地气”的应用决策研究。三是以丰富的学术资源支撑教学与研究融合。本学位授权点承担了多项国家、省、市社科规划课题以及各地方政府系列应用对策研究课题，导师以课题为依托，坚持理论研究与应用决策研究相结合，以扎实的研究支撑高质量的研究生教学，激发教师教学活力和学生科研潜力，形成科研与教学有效融合相互支撑的良好局面。此外，定期举办全国性的高水平学术会议，为师生提供高水平的学术交流平台。四是依托多种类型的实习基地、调研网络和交流平台，深度培养研究生的社会调查能力。本学位授权点依托社科院系统优势，拥有包括广东省情调研网在内的多种类型支撑科研的基地平台，研究生拥有大量固定的实习、调研和交流机会，也为成长为复合型高层次人才提供基础保障。</w:t>
      </w:r>
    </w:p>
    <w:p>
      <w:pPr>
        <w:pStyle w:val="4"/>
        <w:ind w:firstLine="602" w:firstLineChars="200"/>
      </w:pPr>
      <w:bookmarkStart w:id="7" w:name="_Toc100943460"/>
      <w:bookmarkStart w:id="8" w:name="_Toc129542930"/>
      <w:bookmarkStart w:id="9" w:name="_Toc157897002"/>
      <w:r>
        <w:rPr>
          <w:rFonts w:hint="eastAsia"/>
        </w:rPr>
        <w:t>（二）</w:t>
      </w:r>
      <w:bookmarkEnd w:id="7"/>
      <w:r>
        <w:rPr>
          <w:rFonts w:hint="eastAsia"/>
        </w:rPr>
        <w:t>培养目标和培养方向</w:t>
      </w:r>
      <w:bookmarkEnd w:id="8"/>
      <w:bookmarkEnd w:id="9"/>
    </w:p>
    <w:p>
      <w:pPr>
        <w:ind w:firstLine="482"/>
        <w:rPr>
          <w:b/>
          <w:bCs/>
        </w:rPr>
      </w:pPr>
      <w:r>
        <w:rPr>
          <w:rFonts w:hint="eastAsia"/>
          <w:b/>
          <w:bCs/>
        </w:rPr>
        <w:t>1</w:t>
      </w:r>
      <w:r>
        <w:rPr>
          <w:b/>
          <w:bCs/>
        </w:rPr>
        <w:t xml:space="preserve">. </w:t>
      </w:r>
      <w:r>
        <w:rPr>
          <w:rFonts w:hint="eastAsia"/>
          <w:b/>
          <w:bCs/>
        </w:rPr>
        <w:t>培养目标</w:t>
      </w:r>
    </w:p>
    <w:p>
      <w:pPr>
        <w:ind w:firstLine="480"/>
      </w:pPr>
      <w:r>
        <w:rPr>
          <w:rFonts w:hint="eastAsia"/>
        </w:rPr>
        <w:t>1</w:t>
      </w:r>
      <w:r>
        <w:t xml:space="preserve">.1 </w:t>
      </w:r>
      <w:r>
        <w:rPr>
          <w:rFonts w:hint="eastAsia"/>
        </w:rPr>
        <w:t>社会学</w:t>
      </w:r>
    </w:p>
    <w:p>
      <w:pPr>
        <w:ind w:firstLine="480"/>
      </w:pPr>
      <w:r>
        <w:rPr>
          <w:rFonts w:hint="eastAsia"/>
        </w:rPr>
        <w:t>本专业旨在培养坚持马克思列宁主义、毛泽东思想、邓小平理论、“三个代表”重要思想、科学发展观和习近平新时代中国特色社会主义思想，坚持德智体美劳全面发展的从事社会学研究与实际应用方面工作的高层次专门人才。通过系统学习社会学理论、方法及专业课程，充分参加广东省情调研实践，掌握社会学的基本理论和专门知识，熟悉社会调查研究的原理与方法，具备一定的独立开展社会学学术研究和应用研究的能力。</w:t>
      </w:r>
    </w:p>
    <w:p>
      <w:pPr>
        <w:ind w:firstLine="480"/>
      </w:pPr>
      <w:r>
        <w:rPr>
          <w:rFonts w:hint="eastAsia"/>
        </w:rPr>
        <w:t>1</w:t>
      </w:r>
      <w:r>
        <w:t xml:space="preserve">.2 </w:t>
      </w:r>
      <w:r>
        <w:rPr>
          <w:rFonts w:hint="eastAsia"/>
        </w:rPr>
        <w:t>人口学</w:t>
      </w:r>
    </w:p>
    <w:p>
      <w:pPr>
        <w:ind w:firstLine="480"/>
      </w:pPr>
      <w:r>
        <w:rPr>
          <w:rFonts w:hint="eastAsia"/>
        </w:rPr>
        <w:t>本专业旨在培养坚持马克思列宁主义、毛泽东思想、邓小平理论、“三个代表”重要思想、科学发展观和习近平新时代中国特色社会主义思想，坚持德智体美劳全面发展的从事人口学教学、研究与实际应用方面工作的高层次专门人才。通过系统学习人口学原理、方法与技术，熟悉国内外人口学科学研究的历史、现状与趋势，具有独立从事人口学教学、科研和应用的能力。</w:t>
      </w:r>
    </w:p>
    <w:p>
      <w:pPr>
        <w:ind w:firstLine="480"/>
      </w:pPr>
      <w:r>
        <w:rPr>
          <w:rFonts w:hint="eastAsia"/>
        </w:rPr>
        <w:t>1</w:t>
      </w:r>
      <w:r>
        <w:t xml:space="preserve">.3 </w:t>
      </w:r>
      <w:r>
        <w:rPr>
          <w:rFonts w:hint="eastAsia"/>
        </w:rPr>
        <w:t>民俗学</w:t>
      </w:r>
    </w:p>
    <w:p>
      <w:pPr>
        <w:ind w:firstLine="480"/>
      </w:pPr>
      <w:r>
        <w:rPr>
          <w:rFonts w:hint="eastAsia"/>
        </w:rPr>
        <w:t>本专业旨在培养坚持马克思列宁主义、毛泽东思想、邓小平理论、“三个代表”重要思想、科学发展观和习近平新时代中国特色社会主义思想，坚持德智体美劳全面发展的专业化、高素质的民俗学研究和应用型人才。要求学生掌握民俗学专业知识及研究方法，能运用民俗学理论分析问题，具备能独立从事与民俗学专业相关的教学、研究和管理工作。</w:t>
      </w:r>
    </w:p>
    <w:p>
      <w:pPr>
        <w:ind w:firstLine="482"/>
        <w:rPr>
          <w:b/>
          <w:bCs/>
        </w:rPr>
      </w:pPr>
      <w:r>
        <w:rPr>
          <w:rFonts w:hint="eastAsia"/>
          <w:b/>
          <w:bCs/>
        </w:rPr>
        <w:t>2</w:t>
      </w:r>
      <w:r>
        <w:rPr>
          <w:b/>
          <w:bCs/>
        </w:rPr>
        <w:t xml:space="preserve">. </w:t>
      </w:r>
      <w:r>
        <w:rPr>
          <w:rFonts w:hint="eastAsia"/>
          <w:b/>
          <w:bCs/>
        </w:rPr>
        <w:t>培养方向</w:t>
      </w:r>
    </w:p>
    <w:p>
      <w:pPr>
        <w:ind w:firstLine="480"/>
      </w:pPr>
      <w:r>
        <w:rPr>
          <w:rFonts w:hint="eastAsia"/>
        </w:rPr>
        <w:t>2</w:t>
      </w:r>
      <w:r>
        <w:t>023</w:t>
      </w:r>
      <w:r>
        <w:rPr>
          <w:rFonts w:hint="eastAsia"/>
        </w:rPr>
        <w:t>年，社会学硕士学位授权点下设社会学、人口学、民俗学</w:t>
      </w:r>
      <w:r>
        <w:t>3</w:t>
      </w:r>
      <w:r>
        <w:rPr>
          <w:rFonts w:hint="eastAsia"/>
        </w:rPr>
        <w:t>个二级学科。</w:t>
      </w:r>
    </w:p>
    <w:p>
      <w:pPr>
        <w:ind w:firstLine="480"/>
      </w:pPr>
      <w:r>
        <w:rPr>
          <w:rFonts w:hint="eastAsia"/>
        </w:rPr>
        <w:t>社会学有移民社会学、城乡社会学、发展社会学3个研究方向。移民社会学研究方向立足广东移民第一大省的省情，将移民社会学、流动人口学理论与移民治理实践紧密结合，形成了以国内移民研究为主、兼顾国际移民研究的研究特色。在应用层面对保障移民权益、改善移民处境，以及加强和创新移民治理具有重要作用，在学术层面对丰富发展中国特色的移民社会学、人口学研究具有重大意义。城乡社会学研究方向结合经典社会学理论（社会结构、社会关系、社会互动、社会冲突、社会变迁等概念和理论）、空间社会学、社区社会学、社会建构论、质性研究等，观察、分析城乡关系和城乡互动的过程、动力、影响因素及其后果，具有鲜明时代特色和现实性，为全省全国的新型城镇化和乡村振兴提供理论支撑和政策建议。发展社会学研究方向立足于中国式现代化的具体实践，结合现代化理论、依附理论、世界体系理论、社会转型理论等发展社会学经典理论，在总结广大发达国家和发展中国家现代化进程中的经验教训的基础上，在学术坐标体系中积极总结提炼中国式现代化理论，为以中国式现代化全面推进中华民族伟大复兴贡献社会学智慧，努力构建被国际普遍接受的话语体系。</w:t>
      </w:r>
    </w:p>
    <w:p>
      <w:pPr>
        <w:ind w:firstLine="480"/>
      </w:pPr>
      <w:r>
        <w:rPr>
          <w:rFonts w:hint="eastAsia"/>
        </w:rPr>
        <w:t>人口学有社会人口学、人口迁移和城市化2个研究方向。社会人口学研究方向的内容十分丰富，涉及人口生命周期的各个阶段即儿童、青少年、劳动力和老年以及妇女所面临的各种与人口发展有关的社会问题；也涉及各种人口同婚姻、家庭、宗教、法律、教育、文化、社会结构、社会意识形态或社会心理等社会现象的相互关系。本研究方向的特色是综合人口学和社会学的理论及研究方法，系统研究中国人口及社会问题，针对当前中国社会人口问题及未来发展提供对策建议和政策参考。计划生育基本国策以及人口转型问题、人口老龄化问题、残疾人与弱势群体问题等是本研究方向的重点。人口迁移和城市化研究方向在流动人口管理、人户分离和户籍制度改革、征地拆迁和非自愿移民安置、村改居和城中村改造等领域积累了一批重要成果，形成了自己的特色。作为全国改革开放的先行地区，广东大规模的人口迁移流动与快速的城市化进程实践为本研究方向的理论学术研究提供了丰富的研究素材。</w:t>
      </w:r>
    </w:p>
    <w:p>
      <w:pPr>
        <w:ind w:firstLine="480"/>
      </w:pPr>
      <w:r>
        <w:rPr>
          <w:rFonts w:hint="eastAsia"/>
        </w:rPr>
        <w:t>民俗学有民俗文化和非物质文化遗产保护与开发2个研究方向。民俗文化研究方向主要研究社会生活中传承、发展、创新的民间风俗习惯，强调从民俗学视野运用社会理论考察社会生活中的文化现象，包括从传统到现代、从乡村到城市、从奇风异俗到日常生活的文化现象及其变迁。依托社会学、人类学、人口学及文化产业科研专长，以科学的态度对历史与当代民俗进行调查、整理、分析，对其体制、机制、发生、传承以及演变的相应规律提供学理性阐释。要求学生对民俗研究相关理论脉络有较好的掌握并能够对实际问题进行理论思考。研究方法强调历史文献与田野调查相结合，更好培养专业化、高素质的民俗学研究和应用型人才。非物质文化遗产保护与开发方向致力于培养较好掌握非物质文化遗产基本理论和知识体系，能够胜任非物质文化遗产调查认定、传承保护、宣传推广、转化利用等工作的高层次专业化人才。通过学习民俗学、社会学、人类学、管理学和文化产业研究等基础学术领域的相关知识，掌握非物质文化遗产的基本概念、价值功能和保护开发等基本理论，在田野调查的基础上，把握当代社会保护和发展活态文化传统的世界框架和中国实践，从具有中国特色的社会文化生产框架入手，结合社会主义现代化文化强国建设的现实需要，围绕中外非物质文化遗产保护与传统文化资源开发框架，推动中华传统民间文化创造性转化和创新性发展。</w:t>
      </w:r>
    </w:p>
    <w:p>
      <w:pPr>
        <w:pStyle w:val="4"/>
        <w:ind w:firstLine="602"/>
      </w:pPr>
      <w:bookmarkStart w:id="10" w:name="_Toc100943461"/>
      <w:bookmarkStart w:id="11" w:name="_Toc129542931"/>
      <w:bookmarkStart w:id="12" w:name="_Toc157897003"/>
      <w:r>
        <w:rPr>
          <w:rFonts w:hint="eastAsia"/>
        </w:rPr>
        <w:t>（三）</w:t>
      </w:r>
      <w:bookmarkEnd w:id="10"/>
      <w:bookmarkEnd w:id="11"/>
      <w:r>
        <w:rPr>
          <w:rFonts w:hint="eastAsia"/>
        </w:rPr>
        <w:t>研究生规模及结构</w:t>
      </w:r>
      <w:bookmarkEnd w:id="12"/>
    </w:p>
    <w:p>
      <w:pPr>
        <w:ind w:firstLine="480"/>
      </w:pPr>
      <w:r>
        <w:rPr>
          <w:rFonts w:hint="eastAsia"/>
        </w:rPr>
        <w:t>本学位授权点招生工作以全国研究生教育工作会议精神为指导，积极认真贯彻落实教育部《202</w:t>
      </w:r>
      <w:r>
        <w:t>3</w:t>
      </w:r>
      <w:r>
        <w:rPr>
          <w:rFonts w:hint="eastAsia"/>
        </w:rPr>
        <w:t>年全国硕士研究生招生工作管理规定》和省招办各项政策规定，强化规范管理，确保研招考试在公平、公正、公开的原则上，科学选拔优质生源，为培养造就德才兼备的、服务经济社会发展的高层次人才奠定良好基础。社会学学位授权点从专业设置入手，突出特色，实现错位招生；吃透招生政策，积极拓展优质生源。202</w:t>
      </w:r>
      <w:r>
        <w:t>3</w:t>
      </w:r>
      <w:r>
        <w:rPr>
          <w:rFonts w:hint="eastAsia"/>
        </w:rPr>
        <w:t>年，本学位授权点共招生6人。其中，社会学3人，人口学2人，民俗学1人。985/211高校生源</w:t>
      </w:r>
      <w:r>
        <w:t>3</w:t>
      </w:r>
      <w:r>
        <w:rPr>
          <w:rFonts w:hint="eastAsia"/>
        </w:rPr>
        <w:t>人，占比</w:t>
      </w:r>
      <w:r>
        <w:t>50</w:t>
      </w:r>
      <w:r>
        <w:rPr>
          <w:rFonts w:hint="eastAsia"/>
        </w:rPr>
        <w:t>%。</w:t>
      </w:r>
    </w:p>
    <w:p>
      <w:pPr>
        <w:ind w:firstLine="480"/>
      </w:pPr>
      <w:r>
        <w:rPr>
          <w:rFonts w:hint="eastAsia"/>
        </w:rPr>
        <w:t>截至202</w:t>
      </w:r>
      <w:r>
        <w:t>3</w:t>
      </w:r>
      <w:r>
        <w:rPr>
          <w:rFonts w:hint="eastAsia"/>
        </w:rPr>
        <w:t>年底，本学位授权点在读研究生18人，每个年级6人。2</w:t>
      </w:r>
      <w:r>
        <w:t>023</w:t>
      </w:r>
      <w:r>
        <w:rPr>
          <w:rFonts w:hint="eastAsia"/>
        </w:rPr>
        <w:t>年度毕业6人，其中社会学3人，人口学2人，民俗学1人。授予学位6人。</w:t>
      </w:r>
    </w:p>
    <w:p>
      <w:pPr>
        <w:pStyle w:val="4"/>
        <w:ind w:firstLine="602"/>
      </w:pPr>
      <w:bookmarkStart w:id="13" w:name="_Toc100943462"/>
      <w:bookmarkStart w:id="14" w:name="_Toc157897004"/>
      <w:bookmarkStart w:id="15" w:name="_Toc129542932"/>
      <w:r>
        <w:rPr>
          <w:rFonts w:hint="eastAsia"/>
        </w:rPr>
        <w:t>（四）</w:t>
      </w:r>
      <w:bookmarkEnd w:id="13"/>
      <w:r>
        <w:rPr>
          <w:rFonts w:hint="eastAsia"/>
        </w:rPr>
        <w:t>导师队伍</w:t>
      </w:r>
      <w:bookmarkEnd w:id="14"/>
      <w:bookmarkEnd w:id="15"/>
    </w:p>
    <w:p>
      <w:pPr>
        <w:ind w:firstLine="482"/>
        <w:rPr>
          <w:b/>
          <w:bCs/>
        </w:rPr>
      </w:pPr>
      <w:r>
        <w:rPr>
          <w:rFonts w:hint="eastAsia"/>
          <w:b/>
          <w:bCs/>
        </w:rPr>
        <w:t>1</w:t>
      </w:r>
      <w:r>
        <w:rPr>
          <w:b/>
          <w:bCs/>
        </w:rPr>
        <w:t xml:space="preserve">. </w:t>
      </w:r>
      <w:r>
        <w:rPr>
          <w:rFonts w:hint="eastAsia"/>
          <w:b/>
          <w:bCs/>
        </w:rPr>
        <w:t>导师队伍基本情况</w:t>
      </w:r>
    </w:p>
    <w:p>
      <w:pPr>
        <w:ind w:firstLine="480"/>
      </w:pPr>
      <w:r>
        <w:rPr>
          <w:rFonts w:hint="eastAsia"/>
        </w:rPr>
        <w:t>202</w:t>
      </w:r>
      <w:r>
        <w:t>3</w:t>
      </w:r>
      <w:r>
        <w:rPr>
          <w:rFonts w:hint="eastAsia"/>
        </w:rPr>
        <w:t>年，本学位授权点共有在职硕士生导师1</w:t>
      </w:r>
      <w:r>
        <w:t>6</w:t>
      </w:r>
      <w:r>
        <w:rPr>
          <w:rFonts w:hint="eastAsia"/>
        </w:rPr>
        <w:t>人（见表1），导师的生师比为1</w:t>
      </w:r>
      <w:r>
        <w:t>.13</w:t>
      </w:r>
      <w:r>
        <w:rPr>
          <w:rFonts w:hint="eastAsia"/>
        </w:rPr>
        <w:t>：1。具有正高专业技术职务的导师为</w:t>
      </w:r>
      <w:r>
        <w:t>7</w:t>
      </w:r>
      <w:r>
        <w:rPr>
          <w:rFonts w:hint="eastAsia"/>
        </w:rPr>
        <w:t>人，具有博士学位1</w:t>
      </w:r>
      <w:r>
        <w:t>6</w:t>
      </w:r>
      <w:r>
        <w:rPr>
          <w:rFonts w:hint="eastAsia"/>
        </w:rPr>
        <w:t>人。按比例统计，正高比例为4</w:t>
      </w:r>
      <w:r>
        <w:t>3.75</w:t>
      </w:r>
      <w:r>
        <w:rPr>
          <w:rFonts w:hint="eastAsia"/>
        </w:rPr>
        <w:t>%，博士学位比例达到</w:t>
      </w:r>
      <w:r>
        <w:t>100</w:t>
      </w:r>
      <w:r>
        <w:rPr>
          <w:rFonts w:hint="eastAsia"/>
        </w:rPr>
        <w:t>%。年龄结构上来看，55岁以上</w:t>
      </w:r>
      <w:r>
        <w:t>3</w:t>
      </w:r>
      <w:r>
        <w:rPr>
          <w:rFonts w:hint="eastAsia"/>
        </w:rPr>
        <w:t>人，45岁以下</w:t>
      </w:r>
      <w:r>
        <w:t>13</w:t>
      </w:r>
      <w:r>
        <w:rPr>
          <w:rFonts w:hint="eastAsia"/>
        </w:rPr>
        <w:t>人。其中，邓智平导师入选广东省培养高层次人才特殊支持计划“宣传思想文化领军人才”，周仲高导师入选广东省培养高层次人才特殊支持计划“青年文化英才”。</w:t>
      </w:r>
    </w:p>
    <w:p>
      <w:pPr>
        <w:ind w:firstLine="480"/>
      </w:pPr>
      <w:r>
        <w:rPr>
          <w:rFonts w:hint="eastAsia"/>
        </w:rPr>
        <w:t>2</w:t>
      </w:r>
      <w:r>
        <w:t>023</w:t>
      </w:r>
      <w:r>
        <w:rPr>
          <w:rFonts w:hint="eastAsia"/>
        </w:rPr>
        <w:t>年6月，广东省社会科学院为推进研究生教育高质量发展，进一步规范硕士生导师遴选工作，印发了《广东省社会科学院硕士研究生导师遴选条件》。2</w:t>
      </w:r>
      <w:r>
        <w:t>023</w:t>
      </w:r>
      <w:r>
        <w:rPr>
          <w:rFonts w:hint="eastAsia"/>
        </w:rPr>
        <w:t>年度本学位授权点新增硕士研究生导师</w:t>
      </w:r>
      <w:r>
        <w:t>4</w:t>
      </w:r>
      <w:r>
        <w:rPr>
          <w:rFonts w:hint="eastAsia"/>
        </w:rPr>
        <w:t>名。本学位授权点的硕士研究生导师遴选，均严格以《广东省社会科学院硕士研究生导师遴选条件》为选拔标准，选聘思想素质强、学术水平高、学风严谨，能认真履行研究生导师职责的教师为导师。</w:t>
      </w:r>
    </w:p>
    <w:p>
      <w:pPr>
        <w:pStyle w:val="5"/>
        <w:ind w:firstLine="560"/>
        <w:rPr>
          <w:b/>
          <w:bCs w:val="0"/>
        </w:rPr>
      </w:pPr>
      <w:r>
        <w:rPr>
          <w:rFonts w:hint="eastAsia"/>
          <w:b/>
          <w:bCs w:val="0"/>
        </w:rPr>
        <w:t>表</w:t>
      </w:r>
      <w:r>
        <w:rPr>
          <w:b/>
          <w:bCs w:val="0"/>
        </w:rPr>
        <w:t>1</w:t>
      </w:r>
      <w:r>
        <w:rPr>
          <w:rFonts w:hint="eastAsia"/>
          <w:b/>
          <w:bCs w:val="0"/>
        </w:rPr>
        <w:t xml:space="preserve"> </w:t>
      </w:r>
      <w:r>
        <w:rPr>
          <w:b/>
          <w:bCs w:val="0"/>
        </w:rPr>
        <w:t xml:space="preserve"> </w:t>
      </w:r>
      <w:r>
        <w:rPr>
          <w:rFonts w:hint="eastAsia"/>
          <w:b/>
          <w:bCs w:val="0"/>
        </w:rPr>
        <w:t>导师信息表</w:t>
      </w:r>
    </w:p>
    <w:tbl>
      <w:tblPr>
        <w:tblStyle w:val="11"/>
        <w:tblW w:w="4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49"/>
        <w:gridCol w:w="1689"/>
        <w:gridCol w:w="1531"/>
        <w:gridCol w:w="229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ind w:firstLine="420" w:firstLineChars="200"/>
              <w:jc w:val="both"/>
            </w:pPr>
            <w:bookmarkStart w:id="16" w:name="_Hlk66579044"/>
            <w:r>
              <w:rPr>
                <w:rFonts w:hint="eastAsia"/>
              </w:rPr>
              <w:t>姓名</w:t>
            </w:r>
          </w:p>
        </w:tc>
        <w:tc>
          <w:tcPr>
            <w:tcW w:w="1045" w:type="pct"/>
            <w:vAlign w:val="center"/>
          </w:tcPr>
          <w:p>
            <w:pPr>
              <w:pStyle w:val="22"/>
              <w:ind w:firstLine="480"/>
              <w:jc w:val="both"/>
            </w:pPr>
            <w:r>
              <w:rPr>
                <w:rFonts w:hint="eastAsia"/>
              </w:rPr>
              <w:t>出生年月</w:t>
            </w:r>
          </w:p>
        </w:tc>
        <w:tc>
          <w:tcPr>
            <w:tcW w:w="947" w:type="pct"/>
            <w:vAlign w:val="center"/>
          </w:tcPr>
          <w:p>
            <w:pPr>
              <w:pStyle w:val="22"/>
            </w:pPr>
            <w:r>
              <w:rPr>
                <w:rFonts w:hint="eastAsia"/>
              </w:rPr>
              <w:t>专业技术职务</w:t>
            </w:r>
          </w:p>
        </w:tc>
        <w:tc>
          <w:tcPr>
            <w:tcW w:w="1418" w:type="pct"/>
          </w:tcPr>
          <w:p>
            <w:pPr>
              <w:pStyle w:val="22"/>
            </w:pPr>
            <w:r>
              <w:rPr>
                <w:rFonts w:hint="eastAsia"/>
              </w:rPr>
              <w:t>二级学科</w:t>
            </w:r>
          </w:p>
        </w:tc>
        <w:tc>
          <w:tcPr>
            <w:tcW w:w="817" w:type="pct"/>
          </w:tcPr>
          <w:p>
            <w:pPr>
              <w:pStyle w:val="22"/>
              <w:ind w:firstLine="480"/>
              <w:jc w:val="both"/>
            </w:pPr>
            <w:r>
              <w:rPr>
                <w:rFonts w:hint="eastAsia"/>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bottom"/>
          </w:tcPr>
          <w:p>
            <w:pPr>
              <w:pStyle w:val="22"/>
            </w:pPr>
            <w:r>
              <w:rPr>
                <w:rFonts w:hint="eastAsia"/>
              </w:rPr>
              <w:t>邓智平</w:t>
            </w:r>
          </w:p>
        </w:tc>
        <w:tc>
          <w:tcPr>
            <w:tcW w:w="1045" w:type="pct"/>
            <w:vAlign w:val="bottom"/>
          </w:tcPr>
          <w:p>
            <w:pPr>
              <w:pStyle w:val="22"/>
              <w:ind w:firstLine="480"/>
              <w:jc w:val="both"/>
            </w:pPr>
            <w:r>
              <w:rPr>
                <w:rFonts w:hint="eastAsia"/>
              </w:rPr>
              <w:t>1982.8</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左晓斯</w:t>
            </w:r>
            <w:r>
              <w:rPr>
                <w:rStyle w:val="15"/>
              </w:rPr>
              <w:footnoteReference w:id="0"/>
            </w:r>
          </w:p>
        </w:tc>
        <w:tc>
          <w:tcPr>
            <w:tcW w:w="1045" w:type="pct"/>
            <w:vAlign w:val="center"/>
          </w:tcPr>
          <w:p>
            <w:pPr>
              <w:pStyle w:val="22"/>
              <w:ind w:firstLine="480"/>
              <w:jc w:val="both"/>
            </w:pPr>
            <w:r>
              <w:rPr>
                <w:rFonts w:hint="eastAsia"/>
              </w:rPr>
              <w:t>1963.5</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社会学/民俗学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李超海</w:t>
            </w:r>
          </w:p>
        </w:tc>
        <w:tc>
          <w:tcPr>
            <w:tcW w:w="1045" w:type="pct"/>
            <w:vAlign w:val="center"/>
          </w:tcPr>
          <w:p>
            <w:pPr>
              <w:pStyle w:val="22"/>
              <w:ind w:firstLine="480"/>
              <w:jc w:val="both"/>
            </w:pPr>
            <w:r>
              <w:rPr>
                <w:rFonts w:hint="eastAsia"/>
              </w:rPr>
              <w:t>19</w:t>
            </w:r>
            <w:r>
              <w:t>79</w:t>
            </w:r>
            <w:r>
              <w:rPr>
                <w:rFonts w:hint="eastAsia"/>
              </w:rPr>
              <w:t>.</w:t>
            </w:r>
            <w:r>
              <w:t>8</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解韬</w:t>
            </w:r>
            <w:r>
              <w:rPr>
                <w:rStyle w:val="15"/>
              </w:rPr>
              <w:footnoteReference w:id="1"/>
            </w:r>
          </w:p>
        </w:tc>
        <w:tc>
          <w:tcPr>
            <w:tcW w:w="1045" w:type="pct"/>
            <w:vAlign w:val="center"/>
          </w:tcPr>
          <w:p>
            <w:pPr>
              <w:pStyle w:val="22"/>
              <w:ind w:firstLine="480"/>
              <w:jc w:val="both"/>
            </w:pPr>
            <w:r>
              <w:rPr>
                <w:rFonts w:hint="eastAsia"/>
              </w:rPr>
              <w:t>1963.2</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人口学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bottom"/>
          </w:tcPr>
          <w:p>
            <w:pPr>
              <w:pStyle w:val="22"/>
            </w:pPr>
            <w:r>
              <w:rPr>
                <w:rFonts w:hint="eastAsia"/>
              </w:rPr>
              <w:t>刘梦琴</w:t>
            </w:r>
          </w:p>
        </w:tc>
        <w:tc>
          <w:tcPr>
            <w:tcW w:w="1045" w:type="pct"/>
            <w:vAlign w:val="bottom"/>
          </w:tcPr>
          <w:p>
            <w:pPr>
              <w:pStyle w:val="22"/>
              <w:ind w:firstLine="480"/>
              <w:jc w:val="both"/>
            </w:pPr>
            <w:r>
              <w:rPr>
                <w:rFonts w:hint="eastAsia"/>
              </w:rPr>
              <w:t>1965.3</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人口学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周仲高</w:t>
            </w:r>
          </w:p>
        </w:tc>
        <w:tc>
          <w:tcPr>
            <w:tcW w:w="1045" w:type="pct"/>
            <w:vAlign w:val="center"/>
          </w:tcPr>
          <w:p>
            <w:pPr>
              <w:pStyle w:val="22"/>
              <w:ind w:firstLine="480"/>
              <w:jc w:val="both"/>
            </w:pPr>
            <w:r>
              <w:rPr>
                <w:rFonts w:hint="eastAsia"/>
              </w:rPr>
              <w:t>1979.6</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人口学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bottom"/>
          </w:tcPr>
          <w:p>
            <w:pPr>
              <w:pStyle w:val="22"/>
            </w:pPr>
            <w:r>
              <w:rPr>
                <w:rFonts w:hint="eastAsia"/>
              </w:rPr>
              <w:t>杨丽婷</w:t>
            </w:r>
          </w:p>
        </w:tc>
        <w:tc>
          <w:tcPr>
            <w:tcW w:w="1045" w:type="pct"/>
            <w:vAlign w:val="bottom"/>
          </w:tcPr>
          <w:p>
            <w:pPr>
              <w:pStyle w:val="22"/>
              <w:ind w:firstLine="480"/>
              <w:jc w:val="both"/>
            </w:pPr>
            <w:r>
              <w:rPr>
                <w:rFonts w:hint="eastAsia"/>
              </w:rPr>
              <w:t>1</w:t>
            </w:r>
            <w:r>
              <w:t>983.3</w:t>
            </w:r>
          </w:p>
        </w:tc>
        <w:tc>
          <w:tcPr>
            <w:tcW w:w="947" w:type="pct"/>
            <w:vAlign w:val="center"/>
          </w:tcPr>
          <w:p>
            <w:pPr>
              <w:pStyle w:val="22"/>
              <w:ind w:firstLine="480"/>
              <w:jc w:val="both"/>
            </w:pPr>
            <w:r>
              <w:rPr>
                <w:rFonts w:hint="eastAsia"/>
              </w:rPr>
              <w:t>正高</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张桂金</w:t>
            </w:r>
          </w:p>
        </w:tc>
        <w:tc>
          <w:tcPr>
            <w:tcW w:w="1045" w:type="pct"/>
            <w:vAlign w:val="center"/>
          </w:tcPr>
          <w:p>
            <w:pPr>
              <w:pStyle w:val="22"/>
              <w:ind w:firstLine="480"/>
              <w:jc w:val="both"/>
            </w:pPr>
            <w:r>
              <w:rPr>
                <w:rFonts w:hint="eastAsia"/>
              </w:rPr>
              <w:t>1986.3</w:t>
            </w:r>
          </w:p>
        </w:tc>
        <w:tc>
          <w:tcPr>
            <w:tcW w:w="947" w:type="pct"/>
            <w:vAlign w:val="center"/>
          </w:tcPr>
          <w:p>
            <w:pPr>
              <w:pStyle w:val="22"/>
              <w:ind w:firstLine="480"/>
              <w:jc w:val="both"/>
            </w:pPr>
            <w:r>
              <w:rPr>
                <w:rFonts w:hint="eastAsia"/>
              </w:rPr>
              <w:t>副高</w:t>
            </w:r>
          </w:p>
        </w:tc>
        <w:tc>
          <w:tcPr>
            <w:tcW w:w="1418" w:type="pct"/>
          </w:tcPr>
          <w:p>
            <w:pPr>
              <w:pStyle w:val="22"/>
              <w:ind w:firstLine="480"/>
              <w:jc w:val="both"/>
            </w:pPr>
            <w:r>
              <w:rPr>
                <w:rFonts w:hint="eastAsia"/>
              </w:rPr>
              <w:t>社会学/人口学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谢开来</w:t>
            </w:r>
          </w:p>
        </w:tc>
        <w:tc>
          <w:tcPr>
            <w:tcW w:w="1045" w:type="pct"/>
            <w:vAlign w:val="center"/>
          </w:tcPr>
          <w:p>
            <w:pPr>
              <w:pStyle w:val="22"/>
              <w:ind w:firstLine="480"/>
              <w:jc w:val="both"/>
            </w:pPr>
            <w:r>
              <w:rPr>
                <w:rFonts w:hint="eastAsia"/>
              </w:rPr>
              <w:t>1</w:t>
            </w:r>
            <w:r>
              <w:t>985.10</w:t>
            </w:r>
          </w:p>
        </w:tc>
        <w:tc>
          <w:tcPr>
            <w:tcW w:w="947" w:type="pct"/>
            <w:vAlign w:val="center"/>
          </w:tcPr>
          <w:p>
            <w:pPr>
              <w:pStyle w:val="22"/>
              <w:ind w:firstLine="480"/>
              <w:jc w:val="both"/>
            </w:pPr>
            <w:r>
              <w:rPr>
                <w:rFonts w:hint="eastAsia"/>
              </w:rPr>
              <w:t>副高</w:t>
            </w:r>
          </w:p>
        </w:tc>
        <w:tc>
          <w:tcPr>
            <w:tcW w:w="1418" w:type="pct"/>
          </w:tcPr>
          <w:p>
            <w:pPr>
              <w:pStyle w:val="22"/>
              <w:ind w:firstLine="480"/>
              <w:jc w:val="both"/>
            </w:pPr>
            <w:r>
              <w:rPr>
                <w:rFonts w:hint="eastAsia"/>
              </w:rPr>
              <w:t>民俗学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郑姝莉</w:t>
            </w:r>
          </w:p>
        </w:tc>
        <w:tc>
          <w:tcPr>
            <w:tcW w:w="1045" w:type="pct"/>
            <w:vAlign w:val="center"/>
          </w:tcPr>
          <w:p>
            <w:pPr>
              <w:pStyle w:val="22"/>
              <w:ind w:firstLine="420" w:firstLineChars="200"/>
              <w:jc w:val="both"/>
            </w:pPr>
            <w:r>
              <w:rPr>
                <w:rFonts w:hint="eastAsia"/>
              </w:rPr>
              <w:t>1</w:t>
            </w:r>
            <w:r>
              <w:t>990.4</w:t>
            </w:r>
          </w:p>
        </w:tc>
        <w:tc>
          <w:tcPr>
            <w:tcW w:w="947" w:type="pct"/>
            <w:vAlign w:val="center"/>
          </w:tcPr>
          <w:p>
            <w:pPr>
              <w:pStyle w:val="22"/>
              <w:ind w:firstLine="420" w:firstLineChars="200"/>
              <w:jc w:val="both"/>
            </w:pPr>
            <w:r>
              <w:rPr>
                <w:rFonts w:hint="eastAsia"/>
              </w:rPr>
              <w:t>副高</w:t>
            </w:r>
          </w:p>
        </w:tc>
        <w:tc>
          <w:tcPr>
            <w:tcW w:w="1418" w:type="pct"/>
          </w:tcPr>
          <w:p>
            <w:pPr>
              <w:pStyle w:val="22"/>
              <w:ind w:firstLine="420" w:firstLineChars="200"/>
              <w:jc w:val="both"/>
            </w:pPr>
            <w:r>
              <w:rPr>
                <w:rFonts w:hint="eastAsia"/>
              </w:rPr>
              <w:t>民俗学</w:t>
            </w:r>
          </w:p>
        </w:tc>
        <w:tc>
          <w:tcPr>
            <w:tcW w:w="817" w:type="pct"/>
            <w:vAlign w:val="center"/>
          </w:tcPr>
          <w:p>
            <w:pPr>
              <w:pStyle w:val="22"/>
              <w:ind w:firstLine="420" w:firstLineChars="20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黄彦瑜</w:t>
            </w:r>
          </w:p>
        </w:tc>
        <w:tc>
          <w:tcPr>
            <w:tcW w:w="1045" w:type="pct"/>
            <w:vAlign w:val="center"/>
          </w:tcPr>
          <w:p>
            <w:pPr>
              <w:pStyle w:val="22"/>
              <w:ind w:firstLine="480"/>
              <w:jc w:val="both"/>
            </w:pPr>
            <w:r>
              <w:rPr>
                <w:rFonts w:hint="eastAsia"/>
              </w:rPr>
              <w:t>1979.8</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杨雪</w:t>
            </w:r>
          </w:p>
        </w:tc>
        <w:tc>
          <w:tcPr>
            <w:tcW w:w="1045" w:type="pct"/>
            <w:vAlign w:val="center"/>
          </w:tcPr>
          <w:p>
            <w:pPr>
              <w:pStyle w:val="22"/>
              <w:ind w:firstLine="480"/>
              <w:jc w:val="both"/>
            </w:pPr>
            <w:r>
              <w:rPr>
                <w:rFonts w:hint="eastAsia"/>
              </w:rPr>
              <w:t>1981.1</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赖妙华</w:t>
            </w:r>
          </w:p>
        </w:tc>
        <w:tc>
          <w:tcPr>
            <w:tcW w:w="1045" w:type="pct"/>
            <w:vAlign w:val="center"/>
          </w:tcPr>
          <w:p>
            <w:pPr>
              <w:pStyle w:val="22"/>
              <w:ind w:firstLine="480"/>
              <w:jc w:val="both"/>
            </w:pPr>
            <w:r>
              <w:rPr>
                <w:rFonts w:hint="eastAsia"/>
              </w:rPr>
              <w:t>1989.7</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人口学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张龙</w:t>
            </w:r>
          </w:p>
        </w:tc>
        <w:tc>
          <w:tcPr>
            <w:tcW w:w="1045" w:type="pct"/>
            <w:vAlign w:val="center"/>
          </w:tcPr>
          <w:p>
            <w:pPr>
              <w:pStyle w:val="22"/>
              <w:ind w:firstLine="480"/>
              <w:jc w:val="both"/>
            </w:pPr>
            <w:r>
              <w:rPr>
                <w:rFonts w:hint="eastAsia"/>
              </w:rPr>
              <w:t xml:space="preserve">1988.11  </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民俗学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王樱洁</w:t>
            </w:r>
          </w:p>
        </w:tc>
        <w:tc>
          <w:tcPr>
            <w:tcW w:w="1045" w:type="pct"/>
            <w:vAlign w:val="center"/>
          </w:tcPr>
          <w:p>
            <w:pPr>
              <w:pStyle w:val="22"/>
              <w:ind w:firstLine="480"/>
              <w:jc w:val="both"/>
            </w:pPr>
            <w:r>
              <w:rPr>
                <w:rFonts w:hint="eastAsia"/>
              </w:rPr>
              <w:t>1</w:t>
            </w:r>
            <w:r>
              <w:t>992.9</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社会学</w:t>
            </w:r>
          </w:p>
        </w:tc>
        <w:tc>
          <w:tcPr>
            <w:tcW w:w="817" w:type="pct"/>
            <w:vAlign w:val="center"/>
          </w:tcPr>
          <w:p>
            <w:pPr>
              <w:pStyle w:val="22"/>
              <w:ind w:firstLine="480"/>
              <w:jc w:val="both"/>
            </w:pPr>
            <w:r>
              <w:rPr>
                <w:rFonts w:hint="eastAsia"/>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773" w:type="pct"/>
            <w:vAlign w:val="center"/>
          </w:tcPr>
          <w:p>
            <w:pPr>
              <w:pStyle w:val="22"/>
            </w:pPr>
            <w:r>
              <w:rPr>
                <w:rFonts w:hint="eastAsia"/>
              </w:rPr>
              <w:t>刘一鸣</w:t>
            </w:r>
          </w:p>
        </w:tc>
        <w:tc>
          <w:tcPr>
            <w:tcW w:w="1045" w:type="pct"/>
            <w:vAlign w:val="center"/>
          </w:tcPr>
          <w:p>
            <w:pPr>
              <w:pStyle w:val="22"/>
              <w:ind w:firstLine="480"/>
              <w:jc w:val="both"/>
            </w:pPr>
            <w:r>
              <w:rPr>
                <w:rFonts w:hint="eastAsia"/>
              </w:rPr>
              <w:t>1</w:t>
            </w:r>
            <w:r>
              <w:t>993.6</w:t>
            </w:r>
          </w:p>
        </w:tc>
        <w:tc>
          <w:tcPr>
            <w:tcW w:w="947" w:type="pct"/>
            <w:vAlign w:val="center"/>
          </w:tcPr>
          <w:p>
            <w:pPr>
              <w:pStyle w:val="22"/>
              <w:ind w:firstLine="480"/>
              <w:jc w:val="both"/>
            </w:pPr>
            <w:r>
              <w:rPr>
                <w:rFonts w:hint="eastAsia"/>
              </w:rPr>
              <w:t>中级</w:t>
            </w:r>
          </w:p>
        </w:tc>
        <w:tc>
          <w:tcPr>
            <w:tcW w:w="1418" w:type="pct"/>
          </w:tcPr>
          <w:p>
            <w:pPr>
              <w:pStyle w:val="22"/>
              <w:ind w:firstLine="480"/>
              <w:jc w:val="both"/>
            </w:pPr>
            <w:r>
              <w:rPr>
                <w:rFonts w:hint="eastAsia"/>
              </w:rPr>
              <w:t>人口学</w:t>
            </w:r>
          </w:p>
        </w:tc>
        <w:tc>
          <w:tcPr>
            <w:tcW w:w="817" w:type="pct"/>
            <w:vAlign w:val="center"/>
          </w:tcPr>
          <w:p>
            <w:pPr>
              <w:pStyle w:val="22"/>
              <w:ind w:firstLine="480"/>
              <w:jc w:val="both"/>
            </w:pPr>
            <w:r>
              <w:rPr>
                <w:rFonts w:hint="eastAsia"/>
              </w:rPr>
              <w:t>博士</w:t>
            </w:r>
          </w:p>
        </w:tc>
      </w:tr>
      <w:bookmarkEnd w:id="16"/>
    </w:tbl>
    <w:p>
      <w:pPr>
        <w:ind w:firstLine="0" w:firstLineChars="0"/>
      </w:pPr>
    </w:p>
    <w:p>
      <w:pPr>
        <w:ind w:firstLine="0" w:firstLineChars="0"/>
        <w:rPr>
          <w:b/>
          <w:bCs/>
        </w:rPr>
      </w:pPr>
      <w:r>
        <w:rPr>
          <w:rFonts w:hint="eastAsia"/>
        </w:rPr>
        <w:t xml:space="preserve"> </w:t>
      </w:r>
      <w:r>
        <w:rPr>
          <w:b/>
          <w:bCs/>
        </w:rPr>
        <w:t xml:space="preserve"> 2. </w:t>
      </w:r>
      <w:r>
        <w:rPr>
          <w:rFonts w:hint="eastAsia"/>
          <w:b/>
          <w:bCs/>
        </w:rPr>
        <w:t>学科带头人简介</w:t>
      </w:r>
    </w:p>
    <w:p>
      <w:pPr>
        <w:ind w:firstLine="480"/>
      </w:pPr>
      <w:r>
        <w:rPr>
          <w:rFonts w:hint="eastAsia"/>
        </w:rPr>
        <w:t>邓智平，男，中山大学社会学专业学士、硕士，社会保障专业博士。现任广东省社会科学院改革开放与现代化研究所所长兼社会学与人口学研究所所长，研究员、硕士生导师。兼任广东省重大行政决策咨询论证专家、广州市重大行政决策咨询专家、广东省社会工作学会会长。入选广东特支计划“宣传思想文化领军人才”。</w:t>
      </w:r>
    </w:p>
    <w:p>
      <w:pPr>
        <w:ind w:firstLine="480" w:firstLineChars="0"/>
      </w:pPr>
      <w:r>
        <w:rPr>
          <w:rFonts w:hint="eastAsia"/>
        </w:rPr>
        <w:t>主要研究领域包括社会</w:t>
      </w:r>
      <w:r>
        <w:rPr>
          <w:rFonts w:hint="eastAsia"/>
          <w:lang w:val="en"/>
        </w:rPr>
        <w:t>发展与</w:t>
      </w:r>
      <w:r>
        <w:rPr>
          <w:rFonts w:hint="eastAsia"/>
        </w:rPr>
        <w:t>现代化、人口流动与城镇化、社会政策与社会治理等。出版《城市性视角下的城市化质量研究》</w:t>
      </w:r>
      <w:r>
        <w:rPr>
          <w:rFonts w:hint="eastAsia"/>
          <w:lang w:val="en"/>
        </w:rPr>
        <w:t>《劳务移民社会治理研究》《技术赋权与互联网时代的劳动关系转型》等著作</w:t>
      </w:r>
      <w:r>
        <w:rPr>
          <w:rFonts w:hint="eastAsia"/>
        </w:rPr>
        <w:t>8</w:t>
      </w:r>
      <w:r>
        <w:rPr>
          <w:rFonts w:hint="eastAsia"/>
          <w:lang w:val="en"/>
        </w:rPr>
        <w:t>部；在《中国社会科学内部文稿》《武汉大学学报》《学术研究》等核心期刊发表论文</w:t>
      </w:r>
      <w:r>
        <w:rPr>
          <w:rFonts w:hint="eastAsia"/>
        </w:rPr>
        <w:t>6</w:t>
      </w:r>
      <w:r>
        <w:rPr>
          <w:rFonts w:hint="eastAsia"/>
          <w:lang w:val="en"/>
        </w:rPr>
        <w:t>0篇；</w:t>
      </w:r>
      <w:r>
        <w:rPr>
          <w:rFonts w:hint="eastAsia"/>
        </w:rPr>
        <w:t>在《光明日报》等新闻媒体发表理论文章26篇</w:t>
      </w:r>
      <w:r>
        <w:rPr>
          <w:lang w:val="en"/>
        </w:rPr>
        <w:t>；</w:t>
      </w:r>
      <w:r>
        <w:rPr>
          <w:rFonts w:hint="eastAsia"/>
          <w:lang w:val="en"/>
        </w:rPr>
        <w:t>主持</w:t>
      </w:r>
      <w:r>
        <w:rPr>
          <w:lang w:val="en"/>
        </w:rPr>
        <w:t>完成</w:t>
      </w:r>
      <w:r>
        <w:rPr>
          <w:rFonts w:hint="eastAsia"/>
          <w:lang w:val="en"/>
        </w:rPr>
        <w:t>国家社科基金项目、省社科规划项目以及地方党委政府委托的研究课题</w:t>
      </w:r>
      <w:r>
        <w:rPr>
          <w:rFonts w:hint="eastAsia"/>
        </w:rPr>
        <w:t>100</w:t>
      </w:r>
      <w:r>
        <w:rPr>
          <w:rFonts w:hint="eastAsia"/>
          <w:lang w:val="en"/>
        </w:rPr>
        <w:t>余项；</w:t>
      </w:r>
      <w:r>
        <w:rPr>
          <w:rFonts w:hint="eastAsia"/>
        </w:rPr>
        <w:t>25个研究报告</w:t>
      </w:r>
      <w:r>
        <w:rPr>
          <w:rFonts w:hint="eastAsia"/>
          <w:lang w:val="en"/>
        </w:rPr>
        <w:t>获省部级以上领导批示；</w:t>
      </w:r>
      <w:r>
        <w:rPr>
          <w:rFonts w:hint="eastAsia"/>
        </w:rPr>
        <w:t>参与广东省基本公共服务均等化规划、珠三角基本公共服务一体化规划、中山市流动人口积分制管理等政策文件的起草；</w:t>
      </w:r>
      <w:r>
        <w:rPr>
          <w:rFonts w:hint="eastAsia"/>
          <w:lang w:val="en"/>
        </w:rPr>
        <w:t>研究成果获得广东省哲学社会科学优秀成果一等奖、</w:t>
      </w:r>
      <w:r>
        <w:rPr>
          <w:lang w:val="en"/>
        </w:rPr>
        <w:t>二等奖</w:t>
      </w:r>
      <w:r>
        <w:rPr>
          <w:rFonts w:hint="eastAsia"/>
          <w:lang w:val="en"/>
        </w:rPr>
        <w:t>等多项。</w:t>
      </w:r>
    </w:p>
    <w:p>
      <w:pPr>
        <w:pStyle w:val="3"/>
        <w:ind w:firstLine="643" w:firstLineChars="200"/>
        <w:rPr>
          <w:sz w:val="32"/>
          <w:szCs w:val="32"/>
        </w:rPr>
      </w:pPr>
      <w:bookmarkStart w:id="17" w:name="_Toc23856"/>
      <w:bookmarkStart w:id="18" w:name="_Toc7321"/>
      <w:bookmarkStart w:id="19" w:name="_Toc157897005"/>
      <w:bookmarkStart w:id="20" w:name="_Toc129542933"/>
      <w:r>
        <w:rPr>
          <w:rFonts w:hint="eastAsia"/>
          <w:sz w:val="32"/>
          <w:szCs w:val="32"/>
        </w:rPr>
        <w:t>二、党建与思想政治教育工作</w:t>
      </w:r>
      <w:bookmarkEnd w:id="17"/>
      <w:bookmarkEnd w:id="18"/>
      <w:bookmarkEnd w:id="19"/>
      <w:bookmarkEnd w:id="20"/>
    </w:p>
    <w:p>
      <w:pPr>
        <w:pStyle w:val="4"/>
        <w:ind w:firstLine="602"/>
      </w:pPr>
      <w:bookmarkStart w:id="21" w:name="_Toc157897006"/>
      <w:bookmarkStart w:id="22" w:name="_Toc129542934"/>
      <w:bookmarkStart w:id="23" w:name="_Toc7898"/>
      <w:bookmarkStart w:id="24" w:name="_Toc12427"/>
      <w:r>
        <w:rPr>
          <w:rFonts w:hint="eastAsia"/>
        </w:rPr>
        <w:t>（一）党建和思想政治工作</w:t>
      </w:r>
      <w:bookmarkEnd w:id="21"/>
      <w:bookmarkEnd w:id="22"/>
      <w:bookmarkEnd w:id="23"/>
      <w:bookmarkEnd w:id="24"/>
    </w:p>
    <w:p>
      <w:pPr>
        <w:ind w:firstLine="480"/>
        <w:rPr>
          <w:color w:val="000000"/>
        </w:rPr>
      </w:pPr>
      <w:r>
        <w:rPr>
          <w:rFonts w:hint="eastAsia"/>
          <w:color w:val="000000"/>
        </w:rPr>
        <w:t>院研究生部党支部作为研究生为主体的基层党组织，平时以老师党小组和学生党小组为单位，开展基层组织建设及活动，以提升党的组织力为重点，突出政治功能。</w:t>
      </w:r>
      <w:r>
        <w:rPr>
          <w:rFonts w:hint="eastAsia"/>
        </w:rPr>
        <w:t>扎实推进党的创新理论学习，</w:t>
      </w:r>
      <w:r>
        <w:rPr>
          <w:rFonts w:hint="eastAsia"/>
          <w:color w:val="000000"/>
        </w:rPr>
        <w:t>通过在重大活动中凝聚党性和在日常工作中凸显党性来教育党员，提高党员的思想认识。在支部建设的实际工作中，认真贯彻落实“三会一课”、组织生活会、谈心谈话、思想汇报、民主评议党员和党员领导干部参加双重组织生活会等基本制度，不断强化党员思想政治教育与意识形态教育工作。已建设成为宣传党的主张、贯彻党的决定、提升党员素质、服务广大师生、推动教育改革发展的坚强战斗堡垒。2</w:t>
      </w:r>
      <w:r>
        <w:rPr>
          <w:color w:val="000000"/>
        </w:rPr>
        <w:t>023</w:t>
      </w:r>
      <w:r>
        <w:rPr>
          <w:rFonts w:hint="eastAsia"/>
          <w:color w:val="000000"/>
        </w:rPr>
        <w:t>年，学生积极参加党支部和学校组织的各项活动，自觉遵守学校规章制度。党支部陆续开展了题为“思想旗帜”“坚强核心”“强国复兴”“挺膺担当”的专题教育和“大思政课专题讲座”，内容涉及政治理论教育、国家安全教育、心理健康教育、爱国主义教育等方面，针对学生因势利导，强化党的理论路线方针政策学习。2023年共举行“大思想课”专题讲座</w:t>
      </w:r>
      <w:r>
        <w:rPr>
          <w:rFonts w:hint="eastAsia"/>
          <w:color w:val="000000"/>
          <w:lang w:val="en-US" w:eastAsia="zh-CN"/>
        </w:rPr>
        <w:t>10</w:t>
      </w:r>
      <w:r>
        <w:rPr>
          <w:rFonts w:hint="eastAsia"/>
          <w:color w:val="000000"/>
        </w:rPr>
        <w:t>次，支部书记讲党课4次（见表2），党员群众意见调查8次，谈心谈话9次，支部组织生活会和民主评议党员2次（老师党小组和学生党小组各1次）。</w:t>
      </w:r>
    </w:p>
    <w:p>
      <w:pPr>
        <w:ind w:firstLine="0" w:firstLineChars="0"/>
        <w:jc w:val="center"/>
        <w:rPr>
          <w:rFonts w:hint="eastAsia"/>
          <w:b/>
          <w:bCs/>
          <w:sz w:val="21"/>
          <w:szCs w:val="21"/>
        </w:rPr>
      </w:pPr>
      <w:r>
        <w:rPr>
          <w:rFonts w:hint="eastAsia"/>
          <w:b/>
          <w:bCs/>
          <w:sz w:val="21"/>
          <w:szCs w:val="21"/>
        </w:rPr>
        <w:t>表</w:t>
      </w:r>
      <w:r>
        <w:rPr>
          <w:b/>
          <w:bCs/>
          <w:sz w:val="21"/>
          <w:szCs w:val="21"/>
        </w:rPr>
        <w:t>2</w:t>
      </w:r>
      <w:r>
        <w:rPr>
          <w:rFonts w:hint="eastAsia"/>
          <w:b/>
          <w:bCs/>
          <w:sz w:val="21"/>
          <w:szCs w:val="21"/>
        </w:rPr>
        <w:t xml:space="preserve">  </w:t>
      </w:r>
      <w:r>
        <w:rPr>
          <w:b/>
          <w:bCs/>
          <w:sz w:val="21"/>
          <w:szCs w:val="21"/>
        </w:rPr>
        <w:t>2023</w:t>
      </w:r>
      <w:r>
        <w:rPr>
          <w:rFonts w:hint="eastAsia"/>
          <w:b/>
          <w:bCs/>
          <w:sz w:val="21"/>
          <w:szCs w:val="21"/>
        </w:rPr>
        <w:t>年研究生思政课情况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503"/>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学习内容</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b w:val="0"/>
                <w:bCs w:val="0"/>
                <w:i w:val="0"/>
                <w:iCs w:val="0"/>
                <w:color w:val="000000"/>
                <w:kern w:val="0"/>
                <w:sz w:val="21"/>
                <w:szCs w:val="21"/>
                <w:u w:val="none"/>
                <w:lang w:val="en-US" w:eastAsia="zh-CN" w:bidi="ar"/>
              </w:rPr>
              <w:t>主讲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1</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广东省社会科学院春季学期研究生开学第一课思政课——“学习贯彻党的二十大精神宣讲报告会”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王廷惠</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广东省社会科学院党组副书记、</w:t>
            </w:r>
            <w:r>
              <w:rPr>
                <w:rFonts w:hint="eastAsia" w:ascii="宋体" w:hAnsi="宋体" w:eastAsia="宋体" w:cs="宋体"/>
                <w:i w:val="0"/>
                <w:iCs w:val="0"/>
                <w:color w:val="000000"/>
                <w:kern w:val="0"/>
                <w:sz w:val="21"/>
                <w:szCs w:val="21"/>
                <w:u w:val="none"/>
                <w:lang w:val="en-US" w:eastAsia="zh-CN" w:bidi="ar"/>
              </w:rPr>
              <w:t>院长</w:t>
            </w:r>
            <w:r>
              <w:rPr>
                <w:rFonts w:hint="eastAsia" w:ascii="宋体" w:hAnsi="宋体" w:cs="宋体"/>
                <w:i w:val="0"/>
                <w:iCs w:val="0"/>
                <w:color w:val="000000"/>
                <w:kern w:val="0"/>
                <w:sz w:val="21"/>
                <w:szCs w:val="21"/>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2</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“学习雷锋精神，做新时代传人”主题的思政大课</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李哓晖、张晗主持（</w:t>
            </w:r>
            <w:r>
              <w:rPr>
                <w:rFonts w:hint="default" w:ascii="Times New Roman" w:hAnsi="Times New Roman" w:eastAsia="宋体" w:cs="Times New Roman"/>
                <w:i w:val="0"/>
                <w:iCs w:val="0"/>
                <w:color w:val="auto"/>
                <w:kern w:val="0"/>
                <w:sz w:val="21"/>
                <w:szCs w:val="24"/>
                <w:u w:val="none"/>
                <w:lang w:val="en-US" w:eastAsia="zh-CN" w:bidi="ar-SA"/>
              </w:rPr>
              <w:t>2022</w:t>
            </w:r>
            <w:r>
              <w:rPr>
                <w:rFonts w:hint="eastAsia" w:ascii="宋体" w:hAnsi="宋体" w:eastAsia="宋体" w:cs="宋体"/>
                <w:i w:val="0"/>
                <w:iCs w:val="0"/>
                <w:color w:val="000000"/>
                <w:kern w:val="0"/>
                <w:sz w:val="21"/>
                <w:szCs w:val="21"/>
                <w:u w:val="none"/>
                <w:lang w:val="en-US" w:eastAsia="zh-CN" w:bidi="ar"/>
              </w:rPr>
              <w:t>级学生党小组干部）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3</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“大思政”专题讲座</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——两会代表谈心得体会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杨丽婷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广东省社会科学院哲学与宗教研究所所长、</w:t>
            </w:r>
            <w:r>
              <w:rPr>
                <w:rFonts w:hint="eastAsia" w:ascii="宋体" w:hAnsi="宋体" w:eastAsia="宋体" w:cs="宋体"/>
                <w:i w:val="0"/>
                <w:iCs w:val="0"/>
                <w:color w:val="000000"/>
                <w:kern w:val="0"/>
                <w:sz w:val="21"/>
                <w:szCs w:val="21"/>
                <w:u w:val="none"/>
                <w:lang w:val="en-US" w:eastAsia="zh-CN"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4</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参观院史馆——学习、传承院的优良文化传统</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 xml:space="preserve">邱静怡 </w:t>
            </w:r>
          </w:p>
          <w:p>
            <w:pPr>
              <w:pStyle w:val="2"/>
              <w:rPr>
                <w:rFonts w:hint="eastAsia"/>
              </w:rPr>
            </w:pPr>
            <w:r>
              <w:rPr>
                <w:rFonts w:hint="eastAsia" w:ascii="宋体" w:hAnsi="宋体" w:cs="宋体"/>
                <w:i w:val="0"/>
                <w:iCs w:val="0"/>
                <w:color w:val="000000"/>
                <w:kern w:val="0"/>
                <w:sz w:val="21"/>
                <w:szCs w:val="21"/>
                <w:u w:val="none"/>
                <w:lang w:val="en-US" w:eastAsia="zh-CN" w:bidi="ar"/>
              </w:rPr>
              <w:t>广东省社会科学院办公室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5</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学习贯彻习近平新时代中国特色社会主义思想主题教育青年读书会第</w:t>
            </w:r>
            <w:r>
              <w:rPr>
                <w:rFonts w:hint="eastAsia" w:ascii="宋体" w:hAnsi="宋体" w:cs="宋体"/>
                <w:i w:val="0"/>
                <w:iCs w:val="0"/>
                <w:color w:val="000000"/>
                <w:kern w:val="0"/>
                <w:sz w:val="21"/>
                <w:szCs w:val="21"/>
                <w:u w:val="none"/>
                <w:lang w:val="en-US" w:eastAsia="zh-CN" w:bidi="ar"/>
              </w:rPr>
              <w:t>一、</w:t>
            </w:r>
            <w:r>
              <w:rPr>
                <w:rFonts w:hint="eastAsia" w:ascii="宋体" w:hAnsi="宋体" w:eastAsia="宋体" w:cs="宋体"/>
                <w:i w:val="0"/>
                <w:iCs w:val="0"/>
                <w:color w:val="000000"/>
                <w:kern w:val="0"/>
                <w:sz w:val="21"/>
                <w:szCs w:val="21"/>
                <w:u w:val="none"/>
                <w:lang w:val="en-US" w:eastAsia="zh-CN" w:bidi="ar"/>
              </w:rPr>
              <w:t>二期</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院党组成员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6</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“大思政”专题讲座</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——研究生如何正确面向就业和走向社会</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卢远  博士</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暨南大学外国语学院党委书记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7</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“大思政”专题讲座</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——“总体国家安全观视角下的我国安全形势分析”</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王向方</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华南农业大学</w:t>
            </w:r>
            <w:r>
              <w:rPr>
                <w:rFonts w:hint="eastAsia" w:ascii="宋体" w:hAnsi="宋体" w:eastAsia="宋体" w:cs="宋体"/>
                <w:i w:val="0"/>
                <w:iCs w:val="0"/>
                <w:color w:val="000000"/>
                <w:kern w:val="0"/>
                <w:sz w:val="21"/>
                <w:szCs w:val="21"/>
                <w:u w:val="none"/>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8</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“大思政”专题讲座</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——“心理健康，从一个公式讲开来…”</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吕玲玲</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讲师</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华南农业大学心理健康辅导中心专职心理咨询师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eastAsia" w:ascii="Times New Roman" w:hAnsi="Times New Roman" w:cs="Times New Roman"/>
                <w:i w:val="0"/>
                <w:iCs w:val="0"/>
                <w:kern w:val="0"/>
                <w:sz w:val="21"/>
                <w:szCs w:val="24"/>
                <w:u w:val="none"/>
                <w:lang w:val="en-US" w:eastAsia="zh-CN" w:bidi="ar-SA"/>
              </w:rPr>
              <w:t>9</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“大思政”专题讲座</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——“学习贯彻习近平法治思想”</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张庆元</w:t>
            </w:r>
          </w:p>
          <w:p>
            <w:pPr>
              <w:pStyle w:val="2"/>
              <w:ind w:left="0" w:leftChars="0" w:firstLine="0" w:firstLineChars="0"/>
              <w:jc w:val="center"/>
              <w:rPr>
                <w:rFonts w:hint="eastAsia"/>
              </w:rPr>
            </w:pPr>
            <w:r>
              <w:rPr>
                <w:rFonts w:hint="eastAsia" w:ascii="宋体" w:hAnsi="宋体" w:cs="宋体"/>
                <w:i w:val="0"/>
                <w:iCs w:val="0"/>
                <w:color w:val="000000"/>
                <w:kern w:val="0"/>
                <w:sz w:val="21"/>
                <w:szCs w:val="21"/>
                <w:u w:val="none"/>
                <w:lang w:val="en-US" w:eastAsia="zh-CN" w:bidi="ar"/>
              </w:rPr>
              <w:t>广东省社会科学院法学研究所研究员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2" w:type="dxa"/>
            <w:vAlign w:val="center"/>
          </w:tcPr>
          <w:p>
            <w:pPr>
              <w:keepNext w:val="0"/>
              <w:keepLines w:val="0"/>
              <w:widowControl w:val="0"/>
              <w:suppressLineNumbers w:val="0"/>
              <w:spacing w:line="288" w:lineRule="auto"/>
              <w:ind w:firstLine="0" w:firstLineChars="0"/>
              <w:jc w:val="center"/>
              <w:textAlignment w:val="center"/>
              <w:rPr>
                <w:rFonts w:hint="default" w:ascii="Times New Roman" w:hAnsi="Times New Roman" w:eastAsia="宋体" w:cs="Times New Roman"/>
                <w:kern w:val="0"/>
                <w:sz w:val="21"/>
                <w:szCs w:val="24"/>
                <w:highlight w:val="none"/>
                <w:vertAlign w:val="baseline"/>
              </w:rPr>
            </w:pPr>
            <w:r>
              <w:rPr>
                <w:rFonts w:hint="default" w:ascii="Times New Roman" w:hAnsi="Times New Roman" w:eastAsia="宋体" w:cs="Times New Roman"/>
                <w:i w:val="0"/>
                <w:iCs w:val="0"/>
                <w:color w:val="auto"/>
                <w:kern w:val="0"/>
                <w:sz w:val="21"/>
                <w:szCs w:val="24"/>
                <w:u w:val="none"/>
                <w:lang w:val="en-US" w:eastAsia="zh-CN" w:bidi="ar-SA"/>
              </w:rPr>
              <w:t>1</w:t>
            </w:r>
            <w:r>
              <w:rPr>
                <w:rFonts w:hint="eastAsia" w:ascii="Times New Roman" w:hAnsi="Times New Roman" w:cs="Times New Roman"/>
                <w:i w:val="0"/>
                <w:iCs w:val="0"/>
                <w:kern w:val="0"/>
                <w:sz w:val="21"/>
                <w:szCs w:val="24"/>
                <w:u w:val="none"/>
                <w:lang w:val="en-US" w:eastAsia="zh-CN" w:bidi="ar-SA"/>
              </w:rPr>
              <w:t>0</w:t>
            </w:r>
          </w:p>
        </w:tc>
        <w:tc>
          <w:tcPr>
            <w:tcW w:w="4503" w:type="dxa"/>
            <w:vAlign w:val="center"/>
          </w:tcPr>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eastAsia="宋体" w:cs="宋体"/>
                <w:i w:val="0"/>
                <w:iCs w:val="0"/>
                <w:color w:val="000000"/>
                <w:kern w:val="0"/>
                <w:sz w:val="21"/>
                <w:szCs w:val="21"/>
                <w:u w:val="none"/>
                <w:lang w:val="en-US" w:eastAsia="zh-CN" w:bidi="ar"/>
              </w:rPr>
              <w:t>“大思政”专题讲座——“有理想、敢担当、能吃苦、肯奋斗”奋力锤炼强国建设和民族复兴的真本领</w:t>
            </w:r>
          </w:p>
        </w:tc>
        <w:tc>
          <w:tcPr>
            <w:tcW w:w="3130" w:type="dxa"/>
            <w:vAlign w:val="center"/>
          </w:tcPr>
          <w:p>
            <w:pPr>
              <w:keepNext w:val="0"/>
              <w:keepLines w:val="0"/>
              <w:widowControl w:val="0"/>
              <w:suppressLineNumbers w:val="0"/>
              <w:spacing w:line="288" w:lineRule="auto"/>
              <w:ind w:firstLine="0" w:firstLineChars="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王廷惠</w:t>
            </w:r>
            <w:r>
              <w:rPr>
                <w:rFonts w:hint="eastAsia" w:ascii="宋体" w:hAnsi="宋体" w:cs="宋体"/>
                <w:i w:val="0"/>
                <w:iCs w:val="0"/>
                <w:color w:val="000000"/>
                <w:kern w:val="0"/>
                <w:sz w:val="21"/>
                <w:szCs w:val="21"/>
                <w:u w:val="none"/>
                <w:lang w:val="en-US" w:eastAsia="zh-CN" w:bidi="ar"/>
              </w:rPr>
              <w:t xml:space="preserve"> </w:t>
            </w:r>
          </w:p>
          <w:p>
            <w:pPr>
              <w:keepNext w:val="0"/>
              <w:keepLines w:val="0"/>
              <w:widowControl w:val="0"/>
              <w:suppressLineNumbers w:val="0"/>
              <w:spacing w:line="288" w:lineRule="auto"/>
              <w:ind w:firstLine="0" w:firstLineChars="0"/>
              <w:jc w:val="center"/>
              <w:textAlignment w:val="center"/>
              <w:rPr>
                <w:rFonts w:hint="eastAsia" w:ascii="Times New Roman" w:hAnsi="Times New Roman" w:eastAsia="宋体" w:cs="Times New Roman"/>
                <w:sz w:val="21"/>
                <w:szCs w:val="21"/>
                <w:highlight w:val="none"/>
                <w:vertAlign w:val="baseline"/>
              </w:rPr>
            </w:pPr>
            <w:r>
              <w:rPr>
                <w:rFonts w:hint="eastAsia" w:ascii="宋体" w:hAnsi="宋体" w:cs="宋体"/>
                <w:i w:val="0"/>
                <w:iCs w:val="0"/>
                <w:color w:val="000000"/>
                <w:kern w:val="0"/>
                <w:sz w:val="21"/>
                <w:szCs w:val="21"/>
                <w:u w:val="none"/>
                <w:lang w:val="en-US" w:eastAsia="zh-CN" w:bidi="ar"/>
              </w:rPr>
              <w:t>广东省社会科学院党组副书记、</w:t>
            </w:r>
            <w:r>
              <w:rPr>
                <w:rFonts w:hint="eastAsia" w:ascii="宋体" w:hAnsi="宋体" w:eastAsia="宋体" w:cs="宋体"/>
                <w:i w:val="0"/>
                <w:iCs w:val="0"/>
                <w:color w:val="000000"/>
                <w:kern w:val="0"/>
                <w:sz w:val="21"/>
                <w:szCs w:val="21"/>
                <w:u w:val="none"/>
                <w:lang w:val="en-US" w:eastAsia="zh-CN" w:bidi="ar"/>
              </w:rPr>
              <w:t>院长</w:t>
            </w:r>
            <w:r>
              <w:rPr>
                <w:rFonts w:hint="eastAsia" w:ascii="宋体" w:hAnsi="宋体" w:cs="宋体"/>
                <w:i w:val="0"/>
                <w:iCs w:val="0"/>
                <w:color w:val="000000"/>
                <w:kern w:val="0"/>
                <w:sz w:val="21"/>
                <w:szCs w:val="21"/>
                <w:u w:val="none"/>
                <w:lang w:val="en-US" w:eastAsia="zh-CN" w:bidi="ar"/>
              </w:rPr>
              <w:t>、教授</w:t>
            </w:r>
          </w:p>
        </w:tc>
      </w:tr>
    </w:tbl>
    <w:p>
      <w:pPr>
        <w:pStyle w:val="2"/>
      </w:pPr>
    </w:p>
    <w:p>
      <w:pPr>
        <w:ind w:firstLine="480"/>
      </w:pPr>
    </w:p>
    <w:p>
      <w:pPr>
        <w:ind w:firstLine="480"/>
      </w:pPr>
      <w:r>
        <w:rPr>
          <w:rFonts w:hint="eastAsia"/>
        </w:rPr>
        <w:t>院研究生部党支部高度重视培养、引导思想进步、积极向上的年轻人加入党组织，对照党章，高标准严要求地开展“选苗”工作，充分考验，近距离观察，反复鉴别入党初心、思想水平、理论基础，把综合素养高、表现优异的学生作为培养重点，严把入口关。培养过程中，认真执行《中国共产党发展党员工作细则》，严格按照“控制总量、优化结构、提高质量、发挥作用”的总要求，扎实做好发展党员工作。社会学研究生积极向党组织靠拢，202</w:t>
      </w:r>
      <w:r>
        <w:t>3</w:t>
      </w:r>
      <w:r>
        <w:rPr>
          <w:rFonts w:hint="eastAsia"/>
        </w:rPr>
        <w:t>年在读研究生党员</w:t>
      </w:r>
      <w:r>
        <w:t>2</w:t>
      </w:r>
      <w:r>
        <w:rPr>
          <w:rFonts w:hint="eastAsia"/>
        </w:rPr>
        <w:t>人，</w:t>
      </w:r>
      <w:r>
        <w:t>1</w:t>
      </w:r>
      <w:r>
        <w:rPr>
          <w:rFonts w:hint="eastAsia"/>
        </w:rPr>
        <w:t>人发展成为预备党员，1人成为入党积极分子，新增入党申请人2人。</w:t>
      </w:r>
    </w:p>
    <w:p>
      <w:pPr>
        <w:ind w:firstLine="480"/>
      </w:pPr>
      <w:r>
        <w:rPr>
          <w:rFonts w:hint="eastAsia"/>
        </w:rPr>
        <w:t>社会学与人口学所党支部是大部分导师所在的基层党组织。202</w:t>
      </w:r>
      <w:r>
        <w:t>3</w:t>
      </w:r>
      <w:r>
        <w:rPr>
          <w:rFonts w:hint="eastAsia"/>
        </w:rPr>
        <w:t>年，社会学与人口学党支部紧紧围绕省委省政府的各项工作部署与安排，严格按照院党组和机关党委办的各项具体工作安排，做到支部所有党员及所全体成员深刻认识“两个确立”的决定性意义，增强“四个意识”，坚定“四个自信”，做到“两个维护”，不断加强政治修养，认真履职尽责。一是常态化抓好理论学习。根据年度学习计划，有针对性地组织实施，结合本支部工作开展和需要，及时开展新理论、新精神和新文件的学习。在学习中，统筹安排时间，做到有计划、按步骤、成系统地推进，做到常态化、全员集中研学。通过将支部理论学习制度的固化和细化，做到参加人数落实、学习内容落实、学习时间落实、学习效果落实，切实保障支部讨论和党课学习的深入有效。长期坚持学好“第一议题”为先，不断提升支部全体党员的党性修养和新思想新理念新战略的认知使用水平，及时将学习的第一议题内容转化和融入到本所的科研工作和日常管理中去。二是持续做好理论学习的成果转化工作。理论学习既注重仪式感，严格按照党章规定常态化学习，也注重学习成效，不断创新学习方式，提升学习效率。做到在理论学习中凝练研究课题和写作主题，从中挖掘好观点、好素材，跟所承担的重点课题、决策课题、学术论文等相结合，及时转化为科研著作、学术论文和理论文章。三是坚持将研究生党员纳入支部管理，在开展支部外出活动、开展省情田野调查时，有意识地将研究生党员纳入支部队伍，在对党员开展教育的同时也一并完成对研究生党员的管理。在日常的研究生教学和课题研究中，当涉及到有关党的知识和理论时，会对研究生党员提出更高的要求，要求研究生党员做好以学术讲政治的表率，坚定树立为党做学问的远大理想。</w:t>
      </w:r>
    </w:p>
    <w:p>
      <w:pPr>
        <w:pStyle w:val="4"/>
        <w:ind w:firstLine="602"/>
      </w:pPr>
      <w:bookmarkStart w:id="25" w:name="_Toc104"/>
      <w:bookmarkStart w:id="26" w:name="_Toc129542935"/>
      <w:bookmarkStart w:id="27" w:name="_Toc7620"/>
      <w:bookmarkStart w:id="28" w:name="_Toc157897007"/>
      <w:r>
        <w:rPr>
          <w:rFonts w:hint="eastAsia"/>
        </w:rPr>
        <w:t>（二）科学道德和学风教育</w:t>
      </w:r>
      <w:bookmarkEnd w:id="25"/>
      <w:bookmarkEnd w:id="26"/>
      <w:bookmarkEnd w:id="27"/>
      <w:bookmarkEnd w:id="28"/>
    </w:p>
    <w:p>
      <w:pPr>
        <w:ind w:firstLine="480"/>
      </w:pPr>
      <w:r>
        <w:rPr>
          <w:rFonts w:hint="eastAsia"/>
        </w:rPr>
        <w:t>本学位授权点非常重视研究生的学风和学术道德，通过各种渠道对研究生进行科学道德和学术规范教育。一是利用各种科研活动如学术会议、论坛、讲座等，以及研究生部组织的各种社团活动、课外活动，营造以诚信和创新为主题的文化环境，为研究生树立科学道德和学术规范的正确价值观念。二是利用思想政治课堂，通过各类正反面案例和名人事例开展科学道德和学术诚信教育，为研究生阐明做学问的态度和方法，指明良好学风的努力方向。三是利用导师开展模范教育。本学科历来选拔学术水平较高、具有高度责任心的教师担任研究生导师，在教研中展现科学的探索性、严谨性、批判性和创新性，构建一个诚信、规范的学术氛围。四是开展研究生自律教育，使其真正意识到学术不端行为对个人和社会造成的影响，自觉地学习科学道德和学术规范的相关知识，提高自身的学术修养和道德修养，以更加严谨的态度面对学术研究，有效地减少学术不端行为的产生。五是严惩学术不端行为，制定了有关研究生学术行为的管理办法及惩治条例，坚持奖罚分明的原则，认真执行相关办法、条例。到目前为止，本学位授权点研究生中未出现学术不端行为。</w:t>
      </w:r>
    </w:p>
    <w:p>
      <w:pPr>
        <w:pStyle w:val="4"/>
        <w:ind w:firstLine="602"/>
      </w:pPr>
      <w:bookmarkStart w:id="29" w:name="_Toc157897008"/>
      <w:r>
        <w:rPr>
          <w:rFonts w:hint="eastAsia"/>
        </w:rPr>
        <w:t>（三）师风师德建设</w:t>
      </w:r>
      <w:bookmarkEnd w:id="29"/>
    </w:p>
    <w:p>
      <w:pPr>
        <w:ind w:firstLine="480"/>
      </w:pPr>
      <w:r>
        <w:rPr>
          <w:rFonts w:hint="eastAsia"/>
        </w:rPr>
        <w:t>本学位授权点高度重视师德师风建设。我院在实行三个尊重，即“尊重上级文件精神、尊重学校特色和工作实际、尊重研究生教育培养规律”的同时，牢牢抓住“五大内容”，一是明确“立德树人”职责，把握如何“立”、怎样“树”的要义；二是建立考评指标体系，明确考核主体；三是确保激励制度能充分调动导师履行立德树人职责的积极性；四是建立健全违反师德师风行为的惩罚机制，落实导师禁行行为在考核中的“一票否决制”；五是要求导师严格遵守《研究生导师指导行为准则》等规则制度，加强研究生导师队伍建设，规范研究生导师指导行为，全面落实研究生导师立德树人职责。</w:t>
      </w:r>
    </w:p>
    <w:p>
      <w:pPr>
        <w:ind w:firstLine="480"/>
      </w:pPr>
      <w:r>
        <w:rPr>
          <w:rFonts w:hint="eastAsia"/>
        </w:rPr>
        <w:t>2023年8月，我院在社科中心3楼多功能厅举办了面向全体导师和任课教师的师德师风教育专题讲座，本学位授权点所有导师与任课教师均有出席。会议向教师分发了《广东省社会科学院师德师风教育会议材料汇编》，王廷惠院长作师德师风教育动员讲话，要求全体导师认真学习，提高认识，加强自身素质和能力，提升培养研究生的能力和水平。王廷惠院长对进一步加强教师队伍师德师风建设、持续提升研究生教育质量提出三点要求：一要深刻认识高等教育历史方位，坚守为党育人、为国育才的初心使命。身为老师，要不忘教书育人、立德树人初心，自觉规范职业行为，坚决守住师德底线。二要切实担当新时代教师使命职责，锤炼高尚师德和过硬本领。老师们要做“经师”，精通专业知识，成为专家学者；要为“人师”，做学生为学、为事、为人的“大先生”。三要多措并举加强师德师风建设，筑牢思想防线和师德师风底线。教师要持续深入学习教师队伍建设的有关法规和文件精神，以德立身、以德立学、以德施教、以德育德。我院将加强教育引导、健全体制机制、严格一票否决制，进一步加强师德师风建设。硕士生导师们要向习近平总书记提出的师德师风标准看齐，向“人民教育家”学习，做“大学问”，怀“大爱心”，争做为党育人、为国育才的“大先生”，为强国建设、民族复兴培养“德智体美劳”全面发展的堪用之才。会议还邀请中山大学王金发教授作了题为《师魂与师艺》的专题讲座，得到老师们的一致好评。10月26—29日，广东省学位与研究教育学会在广州举办了2023年广东省研究生指导教师培训班（第一期），张桂金副研究员参加了此次培训。</w:t>
      </w:r>
    </w:p>
    <w:p>
      <w:pPr>
        <w:pStyle w:val="3"/>
        <w:ind w:firstLine="643" w:firstLineChars="200"/>
        <w:rPr>
          <w:sz w:val="32"/>
          <w:szCs w:val="32"/>
        </w:rPr>
      </w:pPr>
      <w:bookmarkStart w:id="30" w:name="_Toc100943468"/>
      <w:bookmarkStart w:id="31" w:name="_Toc129542936"/>
      <w:bookmarkStart w:id="32" w:name="_Toc157897009"/>
      <w:r>
        <w:rPr>
          <w:rFonts w:hint="eastAsia"/>
          <w:sz w:val="32"/>
          <w:szCs w:val="32"/>
        </w:rPr>
        <w:t>三、</w:t>
      </w:r>
      <w:bookmarkEnd w:id="30"/>
      <w:r>
        <w:rPr>
          <w:rFonts w:hint="eastAsia"/>
          <w:sz w:val="32"/>
          <w:szCs w:val="32"/>
        </w:rPr>
        <w:t>建设成效</w:t>
      </w:r>
      <w:bookmarkEnd w:id="31"/>
      <w:bookmarkEnd w:id="32"/>
    </w:p>
    <w:p>
      <w:pPr>
        <w:pStyle w:val="4"/>
        <w:ind w:firstLine="602"/>
      </w:pPr>
      <w:bookmarkStart w:id="33" w:name="_Toc129542937"/>
      <w:bookmarkStart w:id="34" w:name="_Toc157897010"/>
      <w:bookmarkStart w:id="35" w:name="_Toc100943469"/>
      <w:r>
        <w:rPr>
          <w:rFonts w:hint="eastAsia"/>
        </w:rPr>
        <w:t>（一）科研成果</w:t>
      </w:r>
      <w:bookmarkEnd w:id="33"/>
      <w:bookmarkEnd w:id="34"/>
    </w:p>
    <w:p>
      <w:pPr>
        <w:ind w:firstLine="480"/>
      </w:pPr>
      <w:r>
        <w:rPr>
          <w:rFonts w:hint="eastAsia"/>
        </w:rPr>
        <w:t>202</w:t>
      </w:r>
      <w:r>
        <w:t>3</w:t>
      </w:r>
      <w:r>
        <w:rPr>
          <w:rFonts w:hint="eastAsia"/>
        </w:rPr>
        <w:t>年，本学位授权点狠抓队伍建设、发挥团队作战优势、深耕传统优良领域。在科研成果方面，本学位点科研人员在研国家社科基金青年项目</w:t>
      </w:r>
      <w:r>
        <w:t>1</w:t>
      </w:r>
      <w:r>
        <w:rPr>
          <w:rFonts w:hint="eastAsia"/>
        </w:rPr>
        <w:t>项、省社科基金</w:t>
      </w:r>
      <w:r>
        <w:t>6</w:t>
      </w:r>
      <w:r>
        <w:rPr>
          <w:rFonts w:hint="eastAsia"/>
        </w:rPr>
        <w:t>项；出版学术专著3部；发表期刊论文、新闻媒体署名文章4</w:t>
      </w:r>
      <w:r>
        <w:t>0</w:t>
      </w:r>
      <w:r>
        <w:rPr>
          <w:rFonts w:hint="eastAsia"/>
        </w:rPr>
        <w:t>余篇，其中SSCI、A&amp;HCI、SCI收录期刊、核心期刊论文</w:t>
      </w:r>
      <w:r>
        <w:t>9</w:t>
      </w:r>
      <w:r>
        <w:rPr>
          <w:rFonts w:hint="eastAsia"/>
        </w:rPr>
        <w:t>篇；向省委省政府报送《广东省社会科学院专报》</w:t>
      </w:r>
      <w:r>
        <w:t>2</w:t>
      </w:r>
      <w:r>
        <w:rPr>
          <w:rFonts w:hint="eastAsia"/>
        </w:rPr>
        <w:t>期，均获省委主要领导肯定性批示。此外，社会学与人口学研究所完成广东省情调研网四个基地入户调查研究，完成了问卷录入、数据清洗、访谈资料整理和报告写作；高质量完成“长者饭堂高质量发展”的上级交办课题，专报《完善“长者饭堂”发展机制，率先探索建成中国特色居家养老服务体系》，先后获得6位省领导9次批示；完成《2022-2023年广东人口发展形势分析与预测》、《2022-2023广东社会发展报告》，刊载于《广东经济社会发展蓝皮书-广东经济社会形势分析与预测（2023）》。</w:t>
      </w:r>
    </w:p>
    <w:p>
      <w:pPr>
        <w:ind w:firstLine="480"/>
      </w:pPr>
      <w:r>
        <w:rPr>
          <w:rFonts w:hint="eastAsia"/>
        </w:rPr>
        <w:t>在学术交流方面，社会学与人口学研究所连续第十年承办中国社会学会学术年会分论坛，202</w:t>
      </w:r>
      <w:r>
        <w:t>3</w:t>
      </w:r>
      <w:r>
        <w:rPr>
          <w:rFonts w:hint="eastAsia"/>
        </w:rPr>
        <w:t>年的主题为“社会治理共同体：理论与实践探索”，联合湘潭大学共同承办，分论坛在天津市南开大学八里台校区举行。来自北京大学、清华大学、复旦大学、南京大学、华东师范大学、中山大学、中原工学院、湘潭大学、广东工业大学、江西省社会科学院、石家庄学院、广州大同社会工作服务中心及我院等40多位专家学者参加了本次论坛，共同探讨了新时代社会治理的历史演进、理论发展、实践经验等相关议题。本次论坛</w:t>
      </w:r>
      <w:r>
        <w:rPr>
          <w:rFonts w:hint="eastAsia"/>
          <w:color w:val="000000"/>
          <w:shd w:val="clear" w:color="auto" w:fill="FFFFFF"/>
        </w:rPr>
        <w:t>收到学术论文投稿50余篇，筛选32篇收录进论文集，论文集超过34万字，向中国社会学界呈现了多样化的社会治理实践，为新时代中国社会治理共同体建设和基层社会治理现代化提供了新观点和新思路，受到国内外各高校、研究机构和社会工作机构的高度关注，</w:t>
      </w:r>
      <w:r>
        <w:rPr>
          <w:rFonts w:hint="eastAsia"/>
        </w:rPr>
        <w:t>在全国学术界产生较大学术影响力。</w:t>
      </w:r>
    </w:p>
    <w:p>
      <w:pPr>
        <w:pStyle w:val="4"/>
        <w:ind w:firstLine="602"/>
      </w:pPr>
      <w:bookmarkStart w:id="36" w:name="_Toc157897011"/>
      <w:bookmarkStart w:id="37" w:name="_Toc129542938"/>
      <w:r>
        <w:rPr>
          <w:rFonts w:hint="eastAsia"/>
        </w:rPr>
        <w:t>（二）研究生培养</w:t>
      </w:r>
      <w:bookmarkEnd w:id="36"/>
      <w:bookmarkEnd w:id="37"/>
    </w:p>
    <w:p>
      <w:pPr>
        <w:ind w:firstLine="482"/>
        <w:rPr>
          <w:b/>
          <w:bCs/>
        </w:rPr>
      </w:pPr>
      <w:r>
        <w:rPr>
          <w:rFonts w:hint="eastAsia"/>
          <w:b/>
          <w:bCs/>
        </w:rPr>
        <w:t>1</w:t>
      </w:r>
      <w:r>
        <w:rPr>
          <w:b/>
          <w:bCs/>
        </w:rPr>
        <w:t xml:space="preserve">. </w:t>
      </w:r>
      <w:r>
        <w:rPr>
          <w:rFonts w:hint="eastAsia"/>
          <w:b/>
          <w:bCs/>
        </w:rPr>
        <w:t>课程</w:t>
      </w:r>
      <w:bookmarkEnd w:id="35"/>
      <w:r>
        <w:rPr>
          <w:rFonts w:hint="eastAsia"/>
          <w:b/>
          <w:bCs/>
        </w:rPr>
        <w:t>设置与满意度评价</w:t>
      </w:r>
    </w:p>
    <w:p>
      <w:pPr>
        <w:ind w:firstLine="480"/>
      </w:pPr>
      <w:r>
        <w:rPr>
          <w:rFonts w:hint="eastAsia"/>
        </w:rPr>
        <w:t>202</w:t>
      </w:r>
      <w:r>
        <w:t>3</w:t>
      </w:r>
      <w:r>
        <w:rPr>
          <w:rFonts w:hint="eastAsia"/>
        </w:rPr>
        <w:t>年7月，本学位授权点更新了《广东省社会科学院社会学专业硕士研究生培养方案》，围绕培养目标，结合外部专家和导师组的意见建议，重新构建了以公共基础课为基础、以专业必修课为核心、以选修课为辅助的整体课程建设方案。2</w:t>
      </w:r>
      <w:r>
        <w:t>023</w:t>
      </w:r>
      <w:r>
        <w:rPr>
          <w:rFonts w:hint="eastAsia"/>
        </w:rPr>
        <w:t>年两个学期，本学位授权点共组织开设了1</w:t>
      </w:r>
      <w:r>
        <w:t>8</w:t>
      </w:r>
      <w:r>
        <w:rPr>
          <w:rFonts w:hint="eastAsia"/>
        </w:rPr>
        <w:t>门课程，其中包括4门公共课、</w:t>
      </w:r>
      <w:r>
        <w:t>1</w:t>
      </w:r>
      <w:r>
        <w:rPr>
          <w:rFonts w:hint="eastAsia"/>
        </w:rPr>
        <w:t>门学位基础课，</w:t>
      </w:r>
      <w:r>
        <w:t>10</w:t>
      </w:r>
      <w:r>
        <w:rPr>
          <w:rFonts w:hint="eastAsia"/>
        </w:rPr>
        <w:t>门学科专业基础课、</w:t>
      </w:r>
      <w:r>
        <w:t>3</w:t>
      </w:r>
      <w:r>
        <w:rPr>
          <w:rFonts w:hint="eastAsia"/>
        </w:rPr>
        <w:t>门选修课（见表</w:t>
      </w:r>
      <w:r>
        <w:t>3</w:t>
      </w:r>
      <w:r>
        <w:rPr>
          <w:rFonts w:hint="eastAsia"/>
        </w:rPr>
        <w:t>、表</w:t>
      </w:r>
      <w:r>
        <w:t>4</w:t>
      </w:r>
      <w:r>
        <w:rPr>
          <w:rFonts w:hint="eastAsia"/>
        </w:rPr>
        <w:t>）。研究生部通过学生问卷调查的方式对开设的公共课、学位/专业基础课和选修课进行了教学质量评估，春季、秋季整体课程满意度分别为9</w:t>
      </w:r>
      <w:r>
        <w:t>2.96</w:t>
      </w:r>
      <w:r>
        <w:rPr>
          <w:rFonts w:hint="eastAsia"/>
        </w:rPr>
        <w:t>%、9</w:t>
      </w:r>
      <w:r>
        <w:t>8.06%</w:t>
      </w:r>
      <w:r>
        <w:rPr>
          <w:rFonts w:hint="eastAsia"/>
        </w:rPr>
        <w:t>（见表</w:t>
      </w:r>
      <w:r>
        <w:t>5</w:t>
      </w:r>
      <w:r>
        <w:rPr>
          <w:rFonts w:hint="eastAsia"/>
        </w:rPr>
        <w:t>、表</w:t>
      </w:r>
      <w:r>
        <w:t>6</w:t>
      </w:r>
      <w:r>
        <w:rPr>
          <w:rFonts w:hint="eastAsia"/>
        </w:rPr>
        <w:t>）。</w:t>
      </w:r>
    </w:p>
    <w:p>
      <w:pPr>
        <w:pStyle w:val="5"/>
        <w:ind w:firstLine="560"/>
        <w:rPr>
          <w:b/>
          <w:bCs w:val="0"/>
        </w:rPr>
      </w:pPr>
      <w:r>
        <w:rPr>
          <w:rFonts w:hint="eastAsia"/>
          <w:b/>
          <w:bCs w:val="0"/>
        </w:rPr>
        <w:t>表</w:t>
      </w:r>
      <w:r>
        <w:rPr>
          <w:b/>
          <w:bCs w:val="0"/>
        </w:rPr>
        <w:t>3</w:t>
      </w:r>
      <w:r>
        <w:rPr>
          <w:rFonts w:hint="eastAsia"/>
          <w:b/>
          <w:bCs w:val="0"/>
        </w:rPr>
        <w:t xml:space="preserve">  </w:t>
      </w:r>
      <w:r>
        <w:rPr>
          <w:b/>
          <w:bCs w:val="0"/>
        </w:rPr>
        <w:t>2023</w:t>
      </w:r>
      <w:r>
        <w:rPr>
          <w:rFonts w:hint="eastAsia"/>
          <w:b/>
          <w:bCs w:val="0"/>
        </w:rPr>
        <w:t>年春季开设课程及主讲教师</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268"/>
        <w:gridCol w:w="1647"/>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pPr>
            <w:r>
              <w:rPr>
                <w:rFonts w:hint="eastAsia"/>
              </w:rPr>
              <w:t>序号</w:t>
            </w:r>
          </w:p>
        </w:tc>
        <w:tc>
          <w:tcPr>
            <w:tcW w:w="4268" w:type="dxa"/>
            <w:vAlign w:val="center"/>
          </w:tcPr>
          <w:p>
            <w:pPr>
              <w:pStyle w:val="22"/>
              <w:ind w:firstLine="480"/>
            </w:pPr>
            <w:r>
              <w:rPr>
                <w:rFonts w:hint="eastAsia"/>
              </w:rPr>
              <w:t>课程名称</w:t>
            </w:r>
          </w:p>
        </w:tc>
        <w:tc>
          <w:tcPr>
            <w:tcW w:w="1647" w:type="dxa"/>
            <w:vAlign w:val="center"/>
          </w:tcPr>
          <w:p>
            <w:pPr>
              <w:pStyle w:val="22"/>
              <w:ind w:firstLine="480"/>
              <w:jc w:val="both"/>
            </w:pPr>
            <w:r>
              <w:rPr>
                <w:rFonts w:hint="eastAsia"/>
              </w:rPr>
              <w:t>主讲教师</w:t>
            </w:r>
          </w:p>
        </w:tc>
        <w:tc>
          <w:tcPr>
            <w:tcW w:w="1579" w:type="dxa"/>
            <w:vAlign w:val="center"/>
          </w:tcPr>
          <w:p>
            <w:pPr>
              <w:pStyle w:val="22"/>
              <w:ind w:firstLine="480"/>
              <w:jc w:val="both"/>
            </w:pPr>
            <w:r>
              <w:rPr>
                <w:rFonts w:hint="eastAsia"/>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1.</w:t>
            </w:r>
          </w:p>
        </w:tc>
        <w:tc>
          <w:tcPr>
            <w:tcW w:w="4268" w:type="dxa"/>
            <w:vAlign w:val="center"/>
          </w:tcPr>
          <w:p>
            <w:pPr>
              <w:pStyle w:val="22"/>
              <w:ind w:firstLine="480"/>
              <w:jc w:val="left"/>
            </w:pPr>
            <w:r>
              <w:rPr>
                <w:rFonts w:hint="eastAsia"/>
              </w:rPr>
              <w:t>中国马克思主义与当代</w:t>
            </w:r>
          </w:p>
        </w:tc>
        <w:tc>
          <w:tcPr>
            <w:tcW w:w="1647" w:type="dxa"/>
            <w:vAlign w:val="center"/>
          </w:tcPr>
          <w:p>
            <w:pPr>
              <w:pStyle w:val="22"/>
              <w:ind w:firstLine="480"/>
              <w:jc w:val="both"/>
            </w:pPr>
            <w:r>
              <w:rPr>
                <w:rFonts w:hint="eastAsia"/>
              </w:rPr>
              <w:t>张造群等</w:t>
            </w:r>
          </w:p>
        </w:tc>
        <w:tc>
          <w:tcPr>
            <w:tcW w:w="1579" w:type="dxa"/>
            <w:vAlign w:val="center"/>
          </w:tcPr>
          <w:p>
            <w:pPr>
              <w:pStyle w:val="22"/>
            </w:pPr>
            <w:r>
              <w:rPr>
                <w:rFonts w:hint="eastAsia"/>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2</w:t>
            </w:r>
          </w:p>
        </w:tc>
        <w:tc>
          <w:tcPr>
            <w:tcW w:w="4268" w:type="dxa"/>
            <w:vAlign w:val="center"/>
          </w:tcPr>
          <w:p>
            <w:pPr>
              <w:pStyle w:val="22"/>
              <w:ind w:firstLine="480"/>
              <w:jc w:val="left"/>
            </w:pPr>
            <w:r>
              <w:rPr>
                <w:rFonts w:hint="eastAsia"/>
              </w:rPr>
              <w:t>英语</w:t>
            </w:r>
          </w:p>
        </w:tc>
        <w:tc>
          <w:tcPr>
            <w:tcW w:w="1647" w:type="dxa"/>
            <w:vAlign w:val="center"/>
          </w:tcPr>
          <w:p>
            <w:pPr>
              <w:pStyle w:val="22"/>
              <w:ind w:firstLine="480"/>
              <w:jc w:val="both"/>
            </w:pPr>
            <w:r>
              <w:rPr>
                <w:rFonts w:hint="eastAsia"/>
              </w:rPr>
              <w:t>刘作珍</w:t>
            </w:r>
          </w:p>
        </w:tc>
        <w:tc>
          <w:tcPr>
            <w:tcW w:w="1579" w:type="dxa"/>
            <w:vAlign w:val="center"/>
          </w:tcPr>
          <w:p>
            <w:pPr>
              <w:pStyle w:val="22"/>
            </w:pPr>
            <w:r>
              <w:rPr>
                <w:rFonts w:hint="eastAsia"/>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3</w:t>
            </w:r>
          </w:p>
        </w:tc>
        <w:tc>
          <w:tcPr>
            <w:tcW w:w="4268" w:type="dxa"/>
            <w:vAlign w:val="center"/>
          </w:tcPr>
          <w:p>
            <w:pPr>
              <w:ind w:firstLine="420"/>
              <w:jc w:val="left"/>
              <w:rPr>
                <w:sz w:val="21"/>
                <w:szCs w:val="21"/>
              </w:rPr>
            </w:pPr>
            <w:r>
              <w:rPr>
                <w:rFonts w:hint="eastAsia"/>
                <w:sz w:val="21"/>
                <w:szCs w:val="21"/>
              </w:rPr>
              <w:t>民俗研究理论与方法</w:t>
            </w:r>
          </w:p>
        </w:tc>
        <w:tc>
          <w:tcPr>
            <w:tcW w:w="1647" w:type="dxa"/>
            <w:vAlign w:val="center"/>
          </w:tcPr>
          <w:p>
            <w:pPr>
              <w:pStyle w:val="22"/>
              <w:ind w:firstLine="480"/>
              <w:jc w:val="both"/>
            </w:pPr>
            <w:r>
              <w:rPr>
                <w:rFonts w:hint="eastAsia"/>
              </w:rPr>
              <w:t>张龙</w:t>
            </w:r>
          </w:p>
        </w:tc>
        <w:tc>
          <w:tcPr>
            <w:tcW w:w="1579" w:type="dxa"/>
            <w:vAlign w:val="center"/>
          </w:tcPr>
          <w:p>
            <w:pPr>
              <w:pStyle w:val="22"/>
            </w:pPr>
            <w:r>
              <w:rPr>
                <w:rFonts w:hint="eastAsia"/>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4</w:t>
            </w:r>
          </w:p>
        </w:tc>
        <w:tc>
          <w:tcPr>
            <w:tcW w:w="4268" w:type="dxa"/>
            <w:vAlign w:val="center"/>
          </w:tcPr>
          <w:p>
            <w:pPr>
              <w:ind w:firstLine="420"/>
              <w:jc w:val="left"/>
              <w:rPr>
                <w:sz w:val="21"/>
                <w:szCs w:val="21"/>
              </w:rPr>
            </w:pPr>
            <w:r>
              <w:rPr>
                <w:rFonts w:hint="eastAsia"/>
                <w:sz w:val="21"/>
                <w:szCs w:val="21"/>
              </w:rPr>
              <w:t>高级统计分析</w:t>
            </w:r>
          </w:p>
        </w:tc>
        <w:tc>
          <w:tcPr>
            <w:tcW w:w="1647" w:type="dxa"/>
            <w:vAlign w:val="center"/>
          </w:tcPr>
          <w:p>
            <w:pPr>
              <w:pStyle w:val="22"/>
              <w:ind w:firstLine="480"/>
              <w:jc w:val="both"/>
            </w:pPr>
            <w:r>
              <w:rPr>
                <w:rFonts w:hint="eastAsia"/>
              </w:rPr>
              <w:t>赵道静</w:t>
            </w:r>
          </w:p>
        </w:tc>
        <w:tc>
          <w:tcPr>
            <w:tcW w:w="1579" w:type="dxa"/>
            <w:vAlign w:val="center"/>
          </w:tcPr>
          <w:p>
            <w:pPr>
              <w:pStyle w:val="22"/>
            </w:pPr>
            <w:r>
              <w:rPr>
                <w:rFonts w:hint="eastAsia"/>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5</w:t>
            </w:r>
          </w:p>
        </w:tc>
        <w:tc>
          <w:tcPr>
            <w:tcW w:w="4268" w:type="dxa"/>
            <w:vAlign w:val="center"/>
          </w:tcPr>
          <w:p>
            <w:pPr>
              <w:ind w:firstLine="420"/>
              <w:jc w:val="left"/>
              <w:rPr>
                <w:sz w:val="21"/>
                <w:szCs w:val="21"/>
              </w:rPr>
            </w:pPr>
            <w:r>
              <w:rPr>
                <w:rFonts w:hint="eastAsia"/>
                <w:sz w:val="21"/>
                <w:szCs w:val="21"/>
              </w:rPr>
              <w:t>田野调查理论与方法</w:t>
            </w:r>
          </w:p>
        </w:tc>
        <w:tc>
          <w:tcPr>
            <w:tcW w:w="1647" w:type="dxa"/>
            <w:vAlign w:val="center"/>
          </w:tcPr>
          <w:p>
            <w:pPr>
              <w:pStyle w:val="22"/>
              <w:ind w:firstLine="480"/>
              <w:jc w:val="both"/>
            </w:pPr>
            <w:r>
              <w:rPr>
                <w:rFonts w:hint="eastAsia"/>
              </w:rPr>
              <w:t>揭英丽</w:t>
            </w:r>
          </w:p>
        </w:tc>
        <w:tc>
          <w:tcPr>
            <w:tcW w:w="1579" w:type="dxa"/>
            <w:vAlign w:val="center"/>
          </w:tcPr>
          <w:p>
            <w:pPr>
              <w:pStyle w:val="22"/>
            </w:pPr>
            <w:r>
              <w:rPr>
                <w:rFonts w:hint="eastAsia"/>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6</w:t>
            </w:r>
          </w:p>
        </w:tc>
        <w:tc>
          <w:tcPr>
            <w:tcW w:w="4268" w:type="dxa"/>
            <w:vAlign w:val="center"/>
          </w:tcPr>
          <w:p>
            <w:pPr>
              <w:ind w:firstLine="420"/>
              <w:jc w:val="left"/>
              <w:rPr>
                <w:sz w:val="21"/>
                <w:szCs w:val="21"/>
              </w:rPr>
            </w:pPr>
            <w:r>
              <w:rPr>
                <w:rFonts w:hint="eastAsia"/>
                <w:sz w:val="21"/>
                <w:szCs w:val="21"/>
              </w:rPr>
              <w:t>人口统计与信息分析技术</w:t>
            </w:r>
          </w:p>
        </w:tc>
        <w:tc>
          <w:tcPr>
            <w:tcW w:w="1647" w:type="dxa"/>
            <w:vAlign w:val="center"/>
          </w:tcPr>
          <w:p>
            <w:pPr>
              <w:pStyle w:val="22"/>
              <w:ind w:firstLine="480"/>
              <w:jc w:val="both"/>
            </w:pPr>
            <w:r>
              <w:rPr>
                <w:rFonts w:hint="eastAsia"/>
              </w:rPr>
              <w:t>刘梦琴</w:t>
            </w:r>
          </w:p>
        </w:tc>
        <w:tc>
          <w:tcPr>
            <w:tcW w:w="1579" w:type="dxa"/>
            <w:vAlign w:val="center"/>
          </w:tcPr>
          <w:p>
            <w:pPr>
              <w:pStyle w:val="22"/>
            </w:pPr>
            <w:r>
              <w:rPr>
                <w:rFonts w:hint="eastAsia"/>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7</w:t>
            </w:r>
          </w:p>
        </w:tc>
        <w:tc>
          <w:tcPr>
            <w:tcW w:w="4268" w:type="dxa"/>
            <w:vAlign w:val="center"/>
          </w:tcPr>
          <w:p>
            <w:pPr>
              <w:ind w:firstLine="420"/>
              <w:jc w:val="left"/>
              <w:rPr>
                <w:sz w:val="21"/>
                <w:szCs w:val="21"/>
              </w:rPr>
            </w:pPr>
            <w:r>
              <w:rPr>
                <w:rFonts w:hint="eastAsia"/>
                <w:sz w:val="21"/>
                <w:szCs w:val="21"/>
              </w:rPr>
              <w:t>科学社会学</w:t>
            </w:r>
          </w:p>
        </w:tc>
        <w:tc>
          <w:tcPr>
            <w:tcW w:w="1647" w:type="dxa"/>
            <w:vAlign w:val="center"/>
          </w:tcPr>
          <w:p>
            <w:pPr>
              <w:pStyle w:val="22"/>
              <w:ind w:firstLine="480"/>
              <w:jc w:val="both"/>
            </w:pPr>
            <w:r>
              <w:rPr>
                <w:rFonts w:hint="eastAsia"/>
              </w:rPr>
              <w:t>黄彦瑜</w:t>
            </w:r>
          </w:p>
        </w:tc>
        <w:tc>
          <w:tcPr>
            <w:tcW w:w="1579" w:type="dxa"/>
            <w:vAlign w:val="center"/>
          </w:tcPr>
          <w:p>
            <w:pPr>
              <w:pStyle w:val="22"/>
            </w:pPr>
            <w:r>
              <w:rPr>
                <w:rFonts w:hint="eastAsia"/>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6" w:type="dxa"/>
            <w:vAlign w:val="center"/>
          </w:tcPr>
          <w:p>
            <w:pPr>
              <w:pStyle w:val="22"/>
              <w:ind w:firstLine="480"/>
              <w:jc w:val="left"/>
            </w:pPr>
            <w:r>
              <w:rPr>
                <w:rFonts w:hint="eastAsia"/>
              </w:rPr>
              <w:t>8</w:t>
            </w:r>
          </w:p>
        </w:tc>
        <w:tc>
          <w:tcPr>
            <w:tcW w:w="4268" w:type="dxa"/>
            <w:vAlign w:val="center"/>
          </w:tcPr>
          <w:p>
            <w:pPr>
              <w:ind w:firstLine="420"/>
              <w:jc w:val="left"/>
              <w:rPr>
                <w:sz w:val="21"/>
                <w:szCs w:val="21"/>
              </w:rPr>
            </w:pPr>
            <w:r>
              <w:rPr>
                <w:rFonts w:hint="eastAsia"/>
                <w:sz w:val="21"/>
                <w:szCs w:val="21"/>
              </w:rPr>
              <w:t>教育人口学</w:t>
            </w:r>
          </w:p>
        </w:tc>
        <w:tc>
          <w:tcPr>
            <w:tcW w:w="1647" w:type="dxa"/>
            <w:vAlign w:val="center"/>
          </w:tcPr>
          <w:p>
            <w:pPr>
              <w:pStyle w:val="22"/>
              <w:ind w:firstLine="480"/>
              <w:jc w:val="both"/>
            </w:pPr>
            <w:r>
              <w:rPr>
                <w:rFonts w:hint="eastAsia"/>
              </w:rPr>
              <w:t>周仲高</w:t>
            </w:r>
          </w:p>
        </w:tc>
        <w:tc>
          <w:tcPr>
            <w:tcW w:w="1579" w:type="dxa"/>
            <w:vAlign w:val="center"/>
          </w:tcPr>
          <w:p>
            <w:pPr>
              <w:pStyle w:val="22"/>
            </w:pPr>
            <w:r>
              <w:rPr>
                <w:rFonts w:hint="eastAsia"/>
              </w:rPr>
              <w:t>选修课</w:t>
            </w:r>
          </w:p>
        </w:tc>
      </w:tr>
    </w:tbl>
    <w:p>
      <w:pPr>
        <w:ind w:firstLine="480"/>
        <w:jc w:val="left"/>
      </w:pPr>
    </w:p>
    <w:p>
      <w:pPr>
        <w:pStyle w:val="5"/>
        <w:ind w:firstLine="560"/>
        <w:rPr>
          <w:b/>
          <w:bCs w:val="0"/>
        </w:rPr>
      </w:pPr>
      <w:r>
        <w:rPr>
          <w:rFonts w:hint="eastAsia"/>
          <w:b/>
          <w:bCs w:val="0"/>
        </w:rPr>
        <w:t>表</w:t>
      </w:r>
      <w:r>
        <w:rPr>
          <w:b/>
          <w:bCs w:val="0"/>
        </w:rPr>
        <w:t>4</w:t>
      </w:r>
      <w:r>
        <w:rPr>
          <w:rFonts w:hint="eastAsia"/>
          <w:b/>
          <w:bCs w:val="0"/>
        </w:rPr>
        <w:t xml:space="preserve"> </w:t>
      </w:r>
      <w:r>
        <w:rPr>
          <w:b/>
          <w:bCs w:val="0"/>
        </w:rPr>
        <w:t xml:space="preserve"> 2023</w:t>
      </w:r>
      <w:r>
        <w:rPr>
          <w:rFonts w:hint="eastAsia"/>
          <w:b/>
          <w:bCs w:val="0"/>
        </w:rPr>
        <w:t>年秋季开设课程及主讲教师</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268"/>
        <w:gridCol w:w="162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rPr>
                <w:szCs w:val="21"/>
              </w:rPr>
            </w:pPr>
            <w:r>
              <w:rPr>
                <w:rFonts w:hint="eastAsia"/>
                <w:szCs w:val="21"/>
              </w:rPr>
              <w:t>序号</w:t>
            </w:r>
          </w:p>
        </w:tc>
        <w:tc>
          <w:tcPr>
            <w:tcW w:w="4268" w:type="dxa"/>
            <w:vAlign w:val="center"/>
          </w:tcPr>
          <w:p>
            <w:pPr>
              <w:pStyle w:val="22"/>
              <w:ind w:firstLine="480"/>
              <w:rPr>
                <w:szCs w:val="21"/>
              </w:rPr>
            </w:pPr>
            <w:r>
              <w:rPr>
                <w:rFonts w:hint="eastAsia"/>
                <w:szCs w:val="21"/>
              </w:rPr>
              <w:t>课程名称</w:t>
            </w:r>
          </w:p>
        </w:tc>
        <w:tc>
          <w:tcPr>
            <w:tcW w:w="1628" w:type="dxa"/>
            <w:vAlign w:val="center"/>
          </w:tcPr>
          <w:p>
            <w:pPr>
              <w:pStyle w:val="22"/>
              <w:ind w:firstLine="480"/>
              <w:rPr>
                <w:szCs w:val="21"/>
              </w:rPr>
            </w:pPr>
            <w:r>
              <w:rPr>
                <w:rFonts w:hint="eastAsia"/>
                <w:szCs w:val="21"/>
              </w:rPr>
              <w:t>主讲教师</w:t>
            </w:r>
          </w:p>
        </w:tc>
        <w:tc>
          <w:tcPr>
            <w:tcW w:w="1598" w:type="dxa"/>
            <w:vAlign w:val="center"/>
          </w:tcPr>
          <w:p>
            <w:pPr>
              <w:pStyle w:val="22"/>
              <w:ind w:firstLine="480"/>
              <w:rPr>
                <w:szCs w:val="21"/>
              </w:rPr>
            </w:pPr>
            <w:r>
              <w:rPr>
                <w:rFonts w:hint="eastAsia"/>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1.</w:t>
            </w:r>
          </w:p>
        </w:tc>
        <w:tc>
          <w:tcPr>
            <w:tcW w:w="4268" w:type="dxa"/>
          </w:tcPr>
          <w:p>
            <w:pPr>
              <w:pStyle w:val="22"/>
              <w:ind w:firstLine="480"/>
              <w:jc w:val="both"/>
              <w:rPr>
                <w:szCs w:val="21"/>
              </w:rPr>
            </w:pPr>
            <w:r>
              <w:rPr>
                <w:rFonts w:hint="eastAsia"/>
                <w:szCs w:val="21"/>
              </w:rPr>
              <w:t>新时代中国特色社会主义理论与实践</w:t>
            </w:r>
          </w:p>
        </w:tc>
        <w:tc>
          <w:tcPr>
            <w:tcW w:w="1628" w:type="dxa"/>
            <w:vAlign w:val="center"/>
          </w:tcPr>
          <w:p>
            <w:pPr>
              <w:pStyle w:val="22"/>
              <w:ind w:firstLine="480"/>
              <w:jc w:val="both"/>
              <w:rPr>
                <w:szCs w:val="21"/>
              </w:rPr>
            </w:pPr>
            <w:r>
              <w:rPr>
                <w:rFonts w:hint="eastAsia"/>
                <w:szCs w:val="21"/>
              </w:rPr>
              <w:t>张造群等</w:t>
            </w:r>
          </w:p>
        </w:tc>
        <w:tc>
          <w:tcPr>
            <w:tcW w:w="1598" w:type="dxa"/>
            <w:vAlign w:val="center"/>
          </w:tcPr>
          <w:p>
            <w:pPr>
              <w:pStyle w:val="22"/>
              <w:rPr>
                <w:szCs w:val="21"/>
              </w:rPr>
            </w:pPr>
            <w:r>
              <w:rPr>
                <w:rFonts w:hint="eastAsia"/>
                <w:szCs w:val="21"/>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2</w:t>
            </w:r>
          </w:p>
        </w:tc>
        <w:tc>
          <w:tcPr>
            <w:tcW w:w="4268" w:type="dxa"/>
            <w:vAlign w:val="center"/>
          </w:tcPr>
          <w:p>
            <w:pPr>
              <w:pStyle w:val="22"/>
              <w:ind w:firstLine="480"/>
              <w:jc w:val="both"/>
              <w:rPr>
                <w:szCs w:val="21"/>
              </w:rPr>
            </w:pPr>
            <w:r>
              <w:rPr>
                <w:rFonts w:hint="eastAsia"/>
                <w:szCs w:val="21"/>
              </w:rPr>
              <w:t>英语</w:t>
            </w:r>
          </w:p>
        </w:tc>
        <w:tc>
          <w:tcPr>
            <w:tcW w:w="1628" w:type="dxa"/>
            <w:vAlign w:val="center"/>
          </w:tcPr>
          <w:p>
            <w:pPr>
              <w:pStyle w:val="22"/>
              <w:ind w:firstLine="480"/>
              <w:jc w:val="both"/>
              <w:rPr>
                <w:szCs w:val="21"/>
              </w:rPr>
            </w:pPr>
            <w:r>
              <w:rPr>
                <w:rFonts w:hint="eastAsia"/>
                <w:szCs w:val="21"/>
                <w:lang w:eastAsia="zh-CN"/>
              </w:rPr>
              <w:t>金凯</w:t>
            </w:r>
            <w:bookmarkStart w:id="49" w:name="_GoBack"/>
            <w:bookmarkEnd w:id="49"/>
          </w:p>
        </w:tc>
        <w:tc>
          <w:tcPr>
            <w:tcW w:w="1598" w:type="dxa"/>
            <w:vAlign w:val="center"/>
          </w:tcPr>
          <w:p>
            <w:pPr>
              <w:pStyle w:val="22"/>
              <w:rPr>
                <w:szCs w:val="21"/>
              </w:rPr>
            </w:pPr>
            <w:r>
              <w:rPr>
                <w:rFonts w:hint="eastAsia"/>
                <w:szCs w:val="21"/>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3</w:t>
            </w:r>
          </w:p>
        </w:tc>
        <w:tc>
          <w:tcPr>
            <w:tcW w:w="4268" w:type="dxa"/>
            <w:vAlign w:val="center"/>
          </w:tcPr>
          <w:p>
            <w:pPr>
              <w:pStyle w:val="22"/>
              <w:ind w:firstLine="480"/>
              <w:jc w:val="both"/>
              <w:rPr>
                <w:szCs w:val="21"/>
              </w:rPr>
            </w:pPr>
            <w:r>
              <w:rPr>
                <w:rFonts w:hint="eastAsia"/>
                <w:szCs w:val="21"/>
              </w:rPr>
              <w:t>学术论文写作</w:t>
            </w:r>
          </w:p>
        </w:tc>
        <w:tc>
          <w:tcPr>
            <w:tcW w:w="1628" w:type="dxa"/>
            <w:vAlign w:val="center"/>
          </w:tcPr>
          <w:p>
            <w:pPr>
              <w:pStyle w:val="22"/>
              <w:ind w:firstLine="480"/>
              <w:jc w:val="both"/>
              <w:rPr>
                <w:szCs w:val="21"/>
              </w:rPr>
            </w:pPr>
            <w:r>
              <w:rPr>
                <w:rFonts w:hint="eastAsia"/>
                <w:szCs w:val="21"/>
              </w:rPr>
              <w:t>邓智平等</w:t>
            </w:r>
          </w:p>
        </w:tc>
        <w:tc>
          <w:tcPr>
            <w:tcW w:w="1598" w:type="dxa"/>
            <w:vAlign w:val="center"/>
          </w:tcPr>
          <w:p>
            <w:pPr>
              <w:pStyle w:val="22"/>
              <w:rPr>
                <w:szCs w:val="21"/>
              </w:rPr>
            </w:pPr>
            <w:r>
              <w:rPr>
                <w:rFonts w:hint="eastAsia"/>
                <w:szCs w:val="21"/>
              </w:rPr>
              <w:t>学位基础课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4</w:t>
            </w:r>
          </w:p>
        </w:tc>
        <w:tc>
          <w:tcPr>
            <w:tcW w:w="4268" w:type="dxa"/>
            <w:vAlign w:val="center"/>
          </w:tcPr>
          <w:p>
            <w:pPr>
              <w:pStyle w:val="22"/>
              <w:ind w:firstLine="480"/>
              <w:jc w:val="both"/>
              <w:rPr>
                <w:szCs w:val="21"/>
              </w:rPr>
            </w:pPr>
            <w:r>
              <w:rPr>
                <w:rFonts w:hint="eastAsia"/>
                <w:szCs w:val="21"/>
              </w:rPr>
              <w:t>社会学前沿专题</w:t>
            </w:r>
          </w:p>
        </w:tc>
        <w:tc>
          <w:tcPr>
            <w:tcW w:w="1628" w:type="dxa"/>
            <w:vAlign w:val="center"/>
          </w:tcPr>
          <w:p>
            <w:pPr>
              <w:pStyle w:val="22"/>
              <w:ind w:firstLine="480"/>
              <w:jc w:val="both"/>
              <w:rPr>
                <w:szCs w:val="21"/>
              </w:rPr>
            </w:pPr>
            <w:r>
              <w:rPr>
                <w:rFonts w:hint="eastAsia"/>
                <w:szCs w:val="21"/>
              </w:rPr>
              <w:t>李超海</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5</w:t>
            </w:r>
          </w:p>
        </w:tc>
        <w:tc>
          <w:tcPr>
            <w:tcW w:w="4268" w:type="dxa"/>
            <w:vAlign w:val="center"/>
          </w:tcPr>
          <w:p>
            <w:pPr>
              <w:pStyle w:val="22"/>
              <w:ind w:firstLine="480"/>
              <w:jc w:val="both"/>
              <w:rPr>
                <w:szCs w:val="21"/>
              </w:rPr>
            </w:pPr>
            <w:r>
              <w:rPr>
                <w:rFonts w:hint="eastAsia"/>
                <w:szCs w:val="21"/>
              </w:rPr>
              <w:t>社会学经典文献选读</w:t>
            </w:r>
          </w:p>
        </w:tc>
        <w:tc>
          <w:tcPr>
            <w:tcW w:w="1628" w:type="dxa"/>
            <w:vAlign w:val="center"/>
          </w:tcPr>
          <w:p>
            <w:pPr>
              <w:pStyle w:val="22"/>
              <w:ind w:firstLine="480"/>
              <w:jc w:val="both"/>
              <w:rPr>
                <w:szCs w:val="21"/>
              </w:rPr>
            </w:pPr>
            <w:r>
              <w:rPr>
                <w:rFonts w:hint="eastAsia"/>
                <w:szCs w:val="21"/>
              </w:rPr>
              <w:t>王樱洁</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6</w:t>
            </w:r>
          </w:p>
        </w:tc>
        <w:tc>
          <w:tcPr>
            <w:tcW w:w="4268" w:type="dxa"/>
            <w:vAlign w:val="center"/>
          </w:tcPr>
          <w:p>
            <w:pPr>
              <w:pStyle w:val="22"/>
              <w:ind w:firstLine="480"/>
              <w:jc w:val="both"/>
              <w:rPr>
                <w:szCs w:val="21"/>
              </w:rPr>
            </w:pPr>
            <w:r>
              <w:rPr>
                <w:rFonts w:hint="eastAsia"/>
                <w:szCs w:val="21"/>
              </w:rPr>
              <w:t>质性研究</w:t>
            </w:r>
          </w:p>
        </w:tc>
        <w:tc>
          <w:tcPr>
            <w:tcW w:w="1628" w:type="dxa"/>
            <w:vAlign w:val="center"/>
          </w:tcPr>
          <w:p>
            <w:pPr>
              <w:pStyle w:val="22"/>
              <w:ind w:firstLine="480"/>
              <w:jc w:val="both"/>
              <w:rPr>
                <w:szCs w:val="21"/>
              </w:rPr>
            </w:pPr>
            <w:r>
              <w:rPr>
                <w:rFonts w:hint="eastAsia"/>
                <w:szCs w:val="21"/>
              </w:rPr>
              <w:t>杨雪</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7</w:t>
            </w:r>
          </w:p>
        </w:tc>
        <w:tc>
          <w:tcPr>
            <w:tcW w:w="4268" w:type="dxa"/>
            <w:vAlign w:val="center"/>
          </w:tcPr>
          <w:p>
            <w:pPr>
              <w:pStyle w:val="22"/>
              <w:ind w:firstLine="480"/>
              <w:jc w:val="both"/>
              <w:rPr>
                <w:szCs w:val="21"/>
              </w:rPr>
            </w:pPr>
            <w:r>
              <w:rPr>
                <w:rFonts w:hint="eastAsia"/>
                <w:szCs w:val="21"/>
              </w:rPr>
              <w:t>人口理论</w:t>
            </w:r>
          </w:p>
        </w:tc>
        <w:tc>
          <w:tcPr>
            <w:tcW w:w="1628" w:type="dxa"/>
            <w:vAlign w:val="center"/>
          </w:tcPr>
          <w:p>
            <w:pPr>
              <w:pStyle w:val="22"/>
              <w:ind w:firstLine="480"/>
              <w:jc w:val="both"/>
              <w:rPr>
                <w:szCs w:val="21"/>
              </w:rPr>
            </w:pPr>
            <w:r>
              <w:rPr>
                <w:rFonts w:hint="eastAsia"/>
                <w:szCs w:val="21"/>
              </w:rPr>
              <w:t>赖妙华</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rFonts w:hint="eastAsia"/>
                <w:szCs w:val="21"/>
              </w:rPr>
              <w:t>8</w:t>
            </w:r>
          </w:p>
        </w:tc>
        <w:tc>
          <w:tcPr>
            <w:tcW w:w="4268" w:type="dxa"/>
            <w:vAlign w:val="center"/>
          </w:tcPr>
          <w:p>
            <w:pPr>
              <w:pStyle w:val="22"/>
              <w:ind w:firstLine="480"/>
              <w:jc w:val="both"/>
              <w:rPr>
                <w:szCs w:val="21"/>
              </w:rPr>
            </w:pPr>
            <w:r>
              <w:rPr>
                <w:rFonts w:hint="eastAsia"/>
                <w:szCs w:val="21"/>
              </w:rPr>
              <w:t>人口学前沿专题</w:t>
            </w:r>
          </w:p>
        </w:tc>
        <w:tc>
          <w:tcPr>
            <w:tcW w:w="1628" w:type="dxa"/>
            <w:vAlign w:val="center"/>
          </w:tcPr>
          <w:p>
            <w:pPr>
              <w:pStyle w:val="22"/>
              <w:ind w:firstLine="480"/>
              <w:jc w:val="both"/>
              <w:rPr>
                <w:szCs w:val="21"/>
              </w:rPr>
            </w:pPr>
            <w:r>
              <w:rPr>
                <w:rFonts w:hint="eastAsia"/>
                <w:szCs w:val="21"/>
              </w:rPr>
              <w:t>赖妙华</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vAlign w:val="center"/>
          </w:tcPr>
          <w:p>
            <w:pPr>
              <w:pStyle w:val="22"/>
              <w:ind w:firstLine="480"/>
              <w:jc w:val="both"/>
              <w:rPr>
                <w:szCs w:val="21"/>
              </w:rPr>
            </w:pPr>
            <w:r>
              <w:rPr>
                <w:szCs w:val="21"/>
              </w:rPr>
              <w:t>9</w:t>
            </w:r>
          </w:p>
        </w:tc>
        <w:tc>
          <w:tcPr>
            <w:tcW w:w="4268" w:type="dxa"/>
            <w:vAlign w:val="center"/>
          </w:tcPr>
          <w:p>
            <w:pPr>
              <w:pStyle w:val="22"/>
              <w:ind w:firstLine="480"/>
              <w:jc w:val="both"/>
              <w:rPr>
                <w:szCs w:val="21"/>
              </w:rPr>
            </w:pPr>
            <w:r>
              <w:rPr>
                <w:rFonts w:hint="eastAsia"/>
                <w:szCs w:val="21"/>
              </w:rPr>
              <w:t>民俗学概论</w:t>
            </w:r>
          </w:p>
        </w:tc>
        <w:tc>
          <w:tcPr>
            <w:tcW w:w="1628" w:type="dxa"/>
            <w:vAlign w:val="center"/>
          </w:tcPr>
          <w:p>
            <w:pPr>
              <w:pStyle w:val="22"/>
              <w:ind w:firstLine="480"/>
              <w:jc w:val="both"/>
              <w:rPr>
                <w:szCs w:val="21"/>
              </w:rPr>
            </w:pPr>
            <w:r>
              <w:rPr>
                <w:rFonts w:hint="eastAsia"/>
                <w:szCs w:val="21"/>
              </w:rPr>
              <w:t>谢开来</w:t>
            </w:r>
          </w:p>
        </w:tc>
        <w:tc>
          <w:tcPr>
            <w:tcW w:w="1598" w:type="dxa"/>
            <w:vAlign w:val="center"/>
          </w:tcPr>
          <w:p>
            <w:pPr>
              <w:pStyle w:val="22"/>
              <w:rPr>
                <w:szCs w:val="21"/>
              </w:rPr>
            </w:pPr>
            <w:r>
              <w:rPr>
                <w:rFonts w:hint="eastAsia"/>
                <w:szCs w:val="21"/>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6" w:type="dxa"/>
            <w:tcBorders>
              <w:top w:val="single" w:color="auto" w:sz="4" w:space="0"/>
              <w:left w:val="single" w:color="auto" w:sz="4" w:space="0"/>
              <w:bottom w:val="single" w:color="auto" w:sz="4" w:space="0"/>
              <w:right w:val="single" w:color="auto" w:sz="4" w:space="0"/>
            </w:tcBorders>
            <w:vAlign w:val="center"/>
          </w:tcPr>
          <w:p>
            <w:pPr>
              <w:pStyle w:val="22"/>
              <w:ind w:firstLine="420" w:firstLineChars="200"/>
              <w:jc w:val="both"/>
              <w:rPr>
                <w:szCs w:val="21"/>
              </w:rPr>
            </w:pPr>
            <w:r>
              <w:rPr>
                <w:rFonts w:hint="eastAsia"/>
                <w:szCs w:val="21"/>
              </w:rPr>
              <w:t>1</w:t>
            </w:r>
            <w:r>
              <w:rPr>
                <w:szCs w:val="21"/>
              </w:rPr>
              <w:t>0</w:t>
            </w:r>
          </w:p>
        </w:tc>
        <w:tc>
          <w:tcPr>
            <w:tcW w:w="4268" w:type="dxa"/>
            <w:tcBorders>
              <w:top w:val="single" w:color="auto" w:sz="4" w:space="0"/>
              <w:left w:val="single" w:color="auto" w:sz="4" w:space="0"/>
              <w:bottom w:val="single" w:color="auto" w:sz="4" w:space="0"/>
              <w:right w:val="single" w:color="auto" w:sz="4" w:space="0"/>
            </w:tcBorders>
            <w:vAlign w:val="center"/>
          </w:tcPr>
          <w:p>
            <w:pPr>
              <w:pStyle w:val="22"/>
              <w:ind w:firstLine="480"/>
              <w:jc w:val="both"/>
              <w:rPr>
                <w:szCs w:val="21"/>
              </w:rPr>
            </w:pPr>
            <w:r>
              <w:rPr>
                <w:rFonts w:hint="eastAsia"/>
                <w:szCs w:val="21"/>
              </w:rPr>
              <w:t>移民社会学</w:t>
            </w:r>
          </w:p>
        </w:tc>
        <w:tc>
          <w:tcPr>
            <w:tcW w:w="1628" w:type="dxa"/>
            <w:tcBorders>
              <w:top w:val="single" w:color="auto" w:sz="4" w:space="0"/>
              <w:left w:val="single" w:color="auto" w:sz="4" w:space="0"/>
              <w:bottom w:val="single" w:color="auto" w:sz="4" w:space="0"/>
              <w:right w:val="single" w:color="auto" w:sz="4" w:space="0"/>
            </w:tcBorders>
            <w:vAlign w:val="center"/>
          </w:tcPr>
          <w:p>
            <w:pPr>
              <w:pStyle w:val="22"/>
              <w:ind w:firstLine="480"/>
              <w:jc w:val="both"/>
              <w:rPr>
                <w:szCs w:val="21"/>
              </w:rPr>
            </w:pPr>
            <w:r>
              <w:rPr>
                <w:rFonts w:hint="eastAsia"/>
                <w:szCs w:val="21"/>
              </w:rPr>
              <w:t>张桂金</w:t>
            </w:r>
          </w:p>
        </w:tc>
        <w:tc>
          <w:tcPr>
            <w:tcW w:w="1598" w:type="dxa"/>
            <w:tcBorders>
              <w:top w:val="single" w:color="auto" w:sz="4" w:space="0"/>
              <w:left w:val="single" w:color="auto" w:sz="4" w:space="0"/>
              <w:bottom w:val="single" w:color="auto" w:sz="4" w:space="0"/>
              <w:right w:val="single" w:color="auto" w:sz="4" w:space="0"/>
            </w:tcBorders>
            <w:vAlign w:val="center"/>
          </w:tcPr>
          <w:p>
            <w:pPr>
              <w:pStyle w:val="22"/>
              <w:rPr>
                <w:szCs w:val="21"/>
              </w:rPr>
            </w:pPr>
            <w:r>
              <w:rPr>
                <w:rFonts w:hint="eastAsia"/>
                <w:szCs w:val="21"/>
              </w:rPr>
              <w:t>选修课</w:t>
            </w:r>
          </w:p>
        </w:tc>
      </w:tr>
    </w:tbl>
    <w:p>
      <w:pPr>
        <w:pStyle w:val="5"/>
        <w:ind w:firstLine="560"/>
        <w:jc w:val="both"/>
      </w:pPr>
    </w:p>
    <w:p>
      <w:pPr>
        <w:pStyle w:val="5"/>
        <w:ind w:firstLine="560"/>
        <w:rPr>
          <w:b/>
          <w:bCs w:val="0"/>
        </w:rPr>
      </w:pPr>
      <w:r>
        <w:rPr>
          <w:rFonts w:hint="eastAsia"/>
          <w:b/>
          <w:bCs w:val="0"/>
        </w:rPr>
        <w:t>表</w:t>
      </w:r>
      <w:r>
        <w:rPr>
          <w:b/>
          <w:bCs w:val="0"/>
        </w:rPr>
        <w:t>5. 2023</w:t>
      </w:r>
      <w:r>
        <w:rPr>
          <w:rFonts w:hint="eastAsia"/>
          <w:b/>
          <w:bCs w:val="0"/>
        </w:rPr>
        <w:t>年春季课程满意度调查（</w:t>
      </w:r>
      <w:r>
        <w:rPr>
          <w:b/>
          <w:bCs w:val="0"/>
        </w:rPr>
        <w:t>%</w:t>
      </w:r>
      <w:r>
        <w:rPr>
          <w:rFonts w:hint="eastAsia"/>
          <w:b/>
          <w:bCs w:val="0"/>
        </w:rPr>
        <w:t>）</w:t>
      </w:r>
    </w:p>
    <w:tbl>
      <w:tblPr>
        <w:tblStyle w:val="2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6"/>
        <w:gridCol w:w="1096"/>
        <w:gridCol w:w="1096"/>
        <w:gridCol w:w="1096"/>
        <w:gridCol w:w="1096"/>
        <w:gridCol w:w="96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课程名称</w:t>
            </w:r>
          </w:p>
        </w:tc>
        <w:tc>
          <w:tcPr>
            <w:tcW w:w="0" w:type="auto"/>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教学态度</w:t>
            </w:r>
          </w:p>
        </w:tc>
        <w:tc>
          <w:tcPr>
            <w:tcW w:w="0" w:type="auto"/>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教学内容</w:t>
            </w:r>
          </w:p>
        </w:tc>
        <w:tc>
          <w:tcPr>
            <w:tcW w:w="0" w:type="auto"/>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教学方法</w:t>
            </w:r>
          </w:p>
        </w:tc>
        <w:tc>
          <w:tcPr>
            <w:tcW w:w="0" w:type="auto"/>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教学效果</w:t>
            </w:r>
          </w:p>
        </w:tc>
        <w:tc>
          <w:tcPr>
            <w:tcW w:w="967" w:type="dxa"/>
            <w:noWrap/>
            <w:vAlign w:val="center"/>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课程平均值</w:t>
            </w:r>
          </w:p>
        </w:tc>
        <w:tc>
          <w:tcPr>
            <w:tcW w:w="708" w:type="dxa"/>
          </w:tcPr>
          <w:p>
            <w:pPr>
              <w:spacing w:line="240" w:lineRule="auto"/>
              <w:ind w:firstLine="0" w:firstLineChars="0"/>
              <w:jc w:val="center"/>
              <w:rPr>
                <w:rFonts w:ascii="宋体" w:hAnsi="宋体"/>
                <w:bCs/>
                <w:kern w:val="0"/>
                <w:sz w:val="22"/>
                <w:szCs w:val="20"/>
              </w:rPr>
            </w:pPr>
            <w:r>
              <w:rPr>
                <w:rFonts w:hint="eastAsia" w:ascii="宋体" w:hAnsi="宋体"/>
                <w:bCs/>
                <w:kern w:val="0"/>
                <w:sz w:val="22"/>
                <w:szCs w:val="20"/>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英语二</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95.38</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87.69</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87.31</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87.31</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89.42</w:t>
            </w:r>
          </w:p>
        </w:tc>
        <w:tc>
          <w:tcPr>
            <w:tcW w:w="708" w:type="dxa"/>
            <w:vMerge w:val="restart"/>
          </w:tcPr>
          <w:p>
            <w:pPr>
              <w:spacing w:line="240" w:lineRule="auto"/>
              <w:ind w:firstLine="0" w:firstLineChars="0"/>
              <w:rPr>
                <w:rFonts w:ascii="宋体" w:hAnsi="宋体" w:cs="Calibri"/>
                <w:bCs/>
                <w:kern w:val="0"/>
                <w:sz w:val="21"/>
                <w:szCs w:val="21"/>
              </w:rPr>
            </w:pPr>
          </w:p>
          <w:p>
            <w:pPr>
              <w:spacing w:line="240" w:lineRule="auto"/>
              <w:ind w:firstLine="0" w:firstLineChars="0"/>
              <w:rPr>
                <w:rFonts w:ascii="宋体" w:hAnsi="宋体" w:cs="Calibri"/>
                <w:bCs/>
                <w:kern w:val="0"/>
                <w:sz w:val="21"/>
                <w:szCs w:val="21"/>
              </w:rPr>
            </w:pPr>
          </w:p>
          <w:p>
            <w:pPr>
              <w:spacing w:line="240" w:lineRule="auto"/>
              <w:ind w:firstLine="0" w:firstLineChars="0"/>
              <w:rPr>
                <w:rFonts w:ascii="宋体" w:hAnsi="宋体" w:cs="Calibri"/>
                <w:bCs/>
                <w:kern w:val="0"/>
                <w:sz w:val="21"/>
                <w:szCs w:val="21"/>
              </w:rPr>
            </w:pPr>
          </w:p>
          <w:p>
            <w:pPr>
              <w:spacing w:line="240" w:lineRule="auto"/>
              <w:ind w:firstLine="0" w:firstLineChars="0"/>
              <w:rPr>
                <w:rFonts w:ascii="宋体" w:hAnsi="宋体" w:cs="Calibri"/>
                <w:bCs/>
                <w:kern w:val="0"/>
                <w:sz w:val="21"/>
                <w:szCs w:val="21"/>
              </w:rPr>
            </w:pPr>
            <w:r>
              <w:rPr>
                <w:rFonts w:hint="eastAsia" w:ascii="宋体" w:hAnsi="宋体" w:cs="Calibri"/>
                <w:bCs/>
                <w:kern w:val="0"/>
                <w:sz w:val="21"/>
                <w:szCs w:val="21"/>
              </w:rPr>
              <w:t>9</w:t>
            </w:r>
            <w:r>
              <w:rPr>
                <w:rFonts w:ascii="宋体" w:hAnsi="宋体" w:cs="Calibri"/>
                <w:bCs/>
                <w:kern w:val="0"/>
                <w:sz w:val="21"/>
                <w:szCs w:val="21"/>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中国马克思主义与当代</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91.54</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89.60</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88.00</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87.20</w:t>
            </w:r>
          </w:p>
        </w:tc>
        <w:tc>
          <w:tcPr>
            <w:tcW w:w="967" w:type="dxa"/>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89.08</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科学社会学</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96.67</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90</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90</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85</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90.42</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教育人口学</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90</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83.33</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83.33</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83.33</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85.00</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田野调查理论与方法</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97.14</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98.57</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98.93</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高级统计分析</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96.67</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96.67</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0" w:type="auto"/>
            <w:noWrap/>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95.83</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民俗研究理论与方法</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100</w:t>
            </w:r>
          </w:p>
        </w:tc>
        <w:tc>
          <w:tcPr>
            <w:tcW w:w="708" w:type="dxa"/>
            <w:vMerge w:val="continue"/>
          </w:tcPr>
          <w:p>
            <w:pPr>
              <w:spacing w:line="240" w:lineRule="auto"/>
              <w:ind w:firstLine="0" w:firstLineChars="0"/>
              <w:jc w:val="center"/>
              <w:rPr>
                <w:rFonts w:ascii="宋体" w:hAnsi="宋体" w:cs="Calibri"/>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spacing w:line="240" w:lineRule="auto"/>
              <w:ind w:firstLine="0" w:firstLineChars="0"/>
              <w:jc w:val="center"/>
              <w:rPr>
                <w:rFonts w:ascii="宋体" w:hAnsi="宋体"/>
                <w:bCs/>
                <w:kern w:val="0"/>
                <w:sz w:val="20"/>
                <w:szCs w:val="20"/>
              </w:rPr>
            </w:pPr>
            <w:r>
              <w:rPr>
                <w:rFonts w:hint="eastAsia" w:ascii="宋体" w:hAnsi="宋体"/>
                <w:bCs/>
                <w:kern w:val="0"/>
                <w:sz w:val="20"/>
                <w:szCs w:val="20"/>
              </w:rPr>
              <w:t>人口统计与信息分析技术</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0" w:type="auto"/>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967" w:type="dxa"/>
            <w:noWrap/>
            <w:vAlign w:val="center"/>
          </w:tcPr>
          <w:p>
            <w:pPr>
              <w:spacing w:line="240" w:lineRule="auto"/>
              <w:ind w:firstLine="0" w:firstLineChars="0"/>
              <w:jc w:val="center"/>
              <w:rPr>
                <w:rFonts w:ascii="宋体" w:hAnsi="宋体" w:cs="Calibri"/>
                <w:bCs/>
                <w:kern w:val="0"/>
                <w:sz w:val="21"/>
                <w:szCs w:val="21"/>
              </w:rPr>
            </w:pPr>
            <w:r>
              <w:rPr>
                <w:rFonts w:ascii="宋体" w:hAnsi="宋体" w:cs="Calibri"/>
                <w:bCs/>
                <w:kern w:val="0"/>
                <w:sz w:val="21"/>
                <w:szCs w:val="21"/>
              </w:rPr>
              <w:t>95</w:t>
            </w:r>
          </w:p>
        </w:tc>
        <w:tc>
          <w:tcPr>
            <w:tcW w:w="708" w:type="dxa"/>
            <w:vMerge w:val="continue"/>
          </w:tcPr>
          <w:p>
            <w:pPr>
              <w:spacing w:line="240" w:lineRule="auto"/>
              <w:ind w:firstLine="0" w:firstLineChars="0"/>
              <w:jc w:val="center"/>
              <w:rPr>
                <w:rFonts w:ascii="宋体" w:hAnsi="宋体" w:cs="Calibri"/>
                <w:bCs/>
                <w:kern w:val="0"/>
                <w:sz w:val="21"/>
                <w:szCs w:val="21"/>
              </w:rPr>
            </w:pPr>
          </w:p>
        </w:tc>
      </w:tr>
    </w:tbl>
    <w:p>
      <w:pPr>
        <w:pStyle w:val="5"/>
        <w:ind w:firstLine="560"/>
      </w:pPr>
      <w:r>
        <w:rPr>
          <w:rFonts w:hint="eastAsia"/>
        </w:rPr>
        <w:t xml:space="preserve">                                     </w:t>
      </w:r>
    </w:p>
    <w:p>
      <w:pPr>
        <w:pStyle w:val="5"/>
        <w:ind w:firstLine="560"/>
        <w:rPr>
          <w:b/>
          <w:bCs w:val="0"/>
        </w:rPr>
      </w:pPr>
      <w:r>
        <w:rPr>
          <w:rFonts w:hint="eastAsia"/>
          <w:b/>
          <w:bCs w:val="0"/>
        </w:rPr>
        <w:t>表</w:t>
      </w:r>
      <w:r>
        <w:rPr>
          <w:b/>
          <w:bCs w:val="0"/>
        </w:rPr>
        <w:t>6. 2023</w:t>
      </w:r>
      <w:r>
        <w:rPr>
          <w:rFonts w:hint="eastAsia"/>
          <w:b/>
          <w:bCs w:val="0"/>
        </w:rPr>
        <w:t>年秋季课程满意度调查（</w:t>
      </w:r>
      <w:r>
        <w:rPr>
          <w:b/>
          <w:bCs w:val="0"/>
        </w:rPr>
        <w:t>%</w:t>
      </w:r>
      <w:r>
        <w:rPr>
          <w:rFonts w:hint="eastAsia"/>
          <w:b/>
          <w:bCs w:val="0"/>
        </w:rPr>
        <w:t>）</w:t>
      </w:r>
    </w:p>
    <w:tbl>
      <w:tblPr>
        <w:tblStyle w:val="25"/>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1020"/>
        <w:gridCol w:w="1020"/>
        <w:gridCol w:w="1022"/>
        <w:gridCol w:w="1015"/>
        <w:gridCol w:w="87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课程名称</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教学态度</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教学内容</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教学方法</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教学效果</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2"/>
              </w:rPr>
            </w:pPr>
            <w:r>
              <w:rPr>
                <w:rFonts w:hint="eastAsia" w:ascii="宋体" w:hAnsi="宋体" w:cs="宋体"/>
                <w:bCs/>
                <w:sz w:val="22"/>
                <w:lang w:bidi="ar"/>
              </w:rPr>
              <w:t>课程平均值</w:t>
            </w:r>
          </w:p>
        </w:tc>
        <w:tc>
          <w:tcPr>
            <w:tcW w:w="499"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ascii="宋体" w:hAnsi="宋体" w:cs="宋体"/>
                <w:bCs/>
                <w:sz w:val="22"/>
                <w:lang w:bidi="ar"/>
              </w:rPr>
            </w:pPr>
            <w:r>
              <w:rPr>
                <w:rFonts w:hint="eastAsia" w:ascii="宋体" w:hAnsi="宋体" w:cs="宋体"/>
                <w:bCs/>
                <w:sz w:val="22"/>
                <w:lang w:bidi="ar"/>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新时代中国特色社会主义理论与实践</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94.80 </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96 </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92.80 </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93.20 </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94.20 </w:t>
            </w:r>
          </w:p>
        </w:tc>
        <w:tc>
          <w:tcPr>
            <w:tcW w:w="499" w:type="pct"/>
            <w:vMerge w:val="restart"/>
            <w:tcBorders>
              <w:top w:val="single" w:color="auto" w:sz="4" w:space="0"/>
              <w:left w:val="single" w:color="auto" w:sz="4" w:space="0"/>
            </w:tcBorders>
          </w:tcPr>
          <w:p>
            <w:pPr>
              <w:spacing w:line="240" w:lineRule="auto"/>
              <w:ind w:firstLine="0" w:firstLineChars="0"/>
              <w:jc w:val="center"/>
              <w:rPr>
                <w:rFonts w:ascii="宋体" w:hAnsi="宋体" w:cs="Calibri"/>
                <w:bCs/>
                <w:sz w:val="20"/>
                <w:szCs w:val="20"/>
              </w:rPr>
            </w:pPr>
          </w:p>
          <w:p>
            <w:pPr>
              <w:spacing w:line="240" w:lineRule="auto"/>
              <w:ind w:firstLine="0" w:firstLineChars="0"/>
              <w:jc w:val="center"/>
              <w:rPr>
                <w:rFonts w:ascii="宋体" w:hAnsi="宋体" w:cs="Calibri"/>
                <w:bCs/>
                <w:sz w:val="20"/>
                <w:szCs w:val="20"/>
              </w:rPr>
            </w:pPr>
          </w:p>
          <w:p>
            <w:pPr>
              <w:spacing w:line="240" w:lineRule="auto"/>
              <w:ind w:firstLine="0" w:firstLineChars="0"/>
              <w:rPr>
                <w:rFonts w:ascii="宋体" w:hAnsi="宋体" w:cs="Calibri"/>
                <w:bCs/>
                <w:sz w:val="20"/>
                <w:szCs w:val="20"/>
              </w:rPr>
            </w:pPr>
          </w:p>
          <w:p>
            <w:pPr>
              <w:spacing w:line="240" w:lineRule="auto"/>
              <w:ind w:firstLine="0" w:firstLineChars="0"/>
              <w:rPr>
                <w:rFonts w:ascii="宋体" w:hAnsi="宋体" w:cs="Calibri"/>
                <w:bCs/>
                <w:sz w:val="20"/>
                <w:szCs w:val="20"/>
              </w:rPr>
            </w:pPr>
            <w:r>
              <w:rPr>
                <w:rFonts w:hint="eastAsia" w:ascii="宋体" w:hAnsi="宋体" w:cs="Calibri"/>
                <w:bCs/>
                <w:sz w:val="20"/>
                <w:szCs w:val="20"/>
              </w:rPr>
              <w:t>9</w:t>
            </w:r>
            <w:r>
              <w:rPr>
                <w:rFonts w:ascii="宋体" w:hAnsi="宋体" w:cs="Calibri"/>
                <w:bCs/>
                <w:sz w:val="20"/>
                <w:szCs w:val="20"/>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英语一</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95.38 </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91.15 </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88.85 </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90 </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 xml:space="preserve">91.35 </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人口学前沿专题（研二）</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400"/>
              <w:jc w:val="center"/>
              <w:rPr>
                <w:rFonts w:ascii="宋体" w:hAnsi="宋体"/>
                <w:bCs/>
                <w:sz w:val="20"/>
                <w:szCs w:val="20"/>
              </w:rPr>
            </w:pPr>
            <w:r>
              <w:rPr>
                <w:rFonts w:hint="eastAsia" w:ascii="宋体" w:hAnsi="宋体"/>
                <w:bCs/>
                <w:sz w:val="20"/>
                <w:szCs w:val="20"/>
              </w:rPr>
              <w:t>人口理论</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社会学经典原著选读</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97.50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95</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98.75</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97.50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97.19</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质性研究</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移民社会学</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98.75</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98.75</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98.75</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99.06</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学术论文写作</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99.17</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98.33</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99.17</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98.33</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98.75</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社会学前沿专题</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499" w:type="pct"/>
            <w:vMerge w:val="continue"/>
            <w:tcBorders>
              <w:left w:val="single" w:color="auto" w:sz="4" w:space="0"/>
            </w:tcBorders>
          </w:tcPr>
          <w:p>
            <w:pPr>
              <w:spacing w:line="240" w:lineRule="auto"/>
              <w:ind w:firstLine="0" w:firstLineChars="0"/>
              <w:jc w:val="center"/>
              <w:rPr>
                <w:rFonts w:ascii="宋体" w:hAnsi="宋体" w:cs="Calibri"/>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bCs/>
                <w:sz w:val="20"/>
                <w:szCs w:val="20"/>
              </w:rPr>
            </w:pPr>
            <w:r>
              <w:rPr>
                <w:rFonts w:hint="eastAsia" w:ascii="宋体" w:hAnsi="宋体"/>
                <w:bCs/>
                <w:sz w:val="20"/>
                <w:szCs w:val="20"/>
              </w:rPr>
              <w:t>民俗学概论</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4"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8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502"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ascii="宋体" w:hAnsi="宋体" w:cs="Calibri"/>
                <w:bCs/>
                <w:sz w:val="20"/>
                <w:szCs w:val="20"/>
              </w:rPr>
            </w:pPr>
            <w:r>
              <w:rPr>
                <w:rFonts w:hint="eastAsia" w:ascii="宋体" w:hAnsi="宋体" w:cs="Calibri"/>
                <w:bCs/>
                <w:sz w:val="20"/>
                <w:szCs w:val="20"/>
              </w:rPr>
              <w:t>100</w:t>
            </w:r>
          </w:p>
        </w:tc>
        <w:tc>
          <w:tcPr>
            <w:tcW w:w="499" w:type="pct"/>
            <w:vMerge w:val="continue"/>
            <w:tcBorders>
              <w:left w:val="single" w:color="auto" w:sz="4" w:space="0"/>
              <w:bottom w:val="single" w:color="auto" w:sz="4" w:space="0"/>
            </w:tcBorders>
          </w:tcPr>
          <w:p>
            <w:pPr>
              <w:spacing w:line="240" w:lineRule="auto"/>
              <w:ind w:firstLine="0" w:firstLineChars="0"/>
              <w:jc w:val="center"/>
              <w:rPr>
                <w:rFonts w:ascii="宋体" w:hAnsi="宋体" w:cs="Calibri"/>
                <w:bCs/>
                <w:sz w:val="20"/>
                <w:szCs w:val="20"/>
              </w:rPr>
            </w:pPr>
          </w:p>
        </w:tc>
      </w:tr>
    </w:tbl>
    <w:p>
      <w:pPr>
        <w:ind w:firstLine="0" w:firstLineChars="0"/>
        <w:rPr>
          <w:sz w:val="21"/>
          <w:szCs w:val="21"/>
        </w:rPr>
      </w:pPr>
      <w:r>
        <w:rPr>
          <w:rFonts w:hint="eastAsia"/>
          <w:sz w:val="21"/>
          <w:szCs w:val="21"/>
        </w:rPr>
        <w:t>测评方法：针对每门课程的四个指标（教学态度、教学内容、教学方法和教学效果）设定很满意、较满意、一般和不满意四个选项，四个选项分别取100%、90%、80%和60%的权重，根据学生评教分数算出每个指标的加权平均值。</w:t>
      </w:r>
    </w:p>
    <w:p>
      <w:pPr>
        <w:ind w:firstLine="482"/>
        <w:rPr>
          <w:b/>
          <w:bCs/>
        </w:rPr>
      </w:pPr>
      <w:r>
        <w:rPr>
          <w:rFonts w:hint="eastAsia"/>
          <w:b/>
          <w:bCs/>
        </w:rPr>
        <w:t>2</w:t>
      </w:r>
      <w:r>
        <w:rPr>
          <w:b/>
          <w:bCs/>
        </w:rPr>
        <w:t xml:space="preserve">. </w:t>
      </w:r>
      <w:r>
        <w:rPr>
          <w:rFonts w:hint="eastAsia"/>
          <w:b/>
          <w:bCs/>
        </w:rPr>
        <w:t>学术训练与学术交流</w:t>
      </w:r>
    </w:p>
    <w:p>
      <w:pPr>
        <w:ind w:firstLine="480"/>
      </w:pPr>
      <w:r>
        <w:rPr>
          <w:rFonts w:hint="eastAsia"/>
        </w:rPr>
        <w:t>本学位授权点一直支持学生参与导师科研课题研究，鼓励各导师创造让学生参与课题研究的机会。在参与形式上，不仅让研究生承担课题资料的收集与整理、数据的录入、问卷与田野调查的实施，更是让研究生尝试课题写作，做到了深度参与。202</w:t>
      </w:r>
      <w:r>
        <w:t>3</w:t>
      </w:r>
      <w:r>
        <w:rPr>
          <w:rFonts w:hint="eastAsia"/>
        </w:rPr>
        <w:t>年，社会学在读研究生参与各类科研课题共</w:t>
      </w:r>
      <w:r>
        <w:t>10</w:t>
      </w:r>
      <w:r>
        <w:rPr>
          <w:rFonts w:hint="eastAsia"/>
        </w:rPr>
        <w:t>项（见表</w:t>
      </w:r>
      <w:r>
        <w:t>7</w:t>
      </w:r>
      <w:r>
        <w:rPr>
          <w:rFonts w:hint="eastAsia"/>
        </w:rPr>
        <w:t>），真正做到了让研究生在参与课题的过程中提升学术能力。</w:t>
      </w:r>
      <w:r>
        <w:rPr>
          <w:rFonts w:hint="eastAsia"/>
          <w:color w:val="auto"/>
        </w:rPr>
        <w:t>另外</w:t>
      </w:r>
      <w:r>
        <w:rPr>
          <w:rFonts w:hint="eastAsia"/>
        </w:rPr>
        <w:t>，我院为了提升研究生科研创新能力，设立了研究生科研创新年度项目。在导师的指导下，</w:t>
      </w:r>
      <w:r>
        <w:t>3</w:t>
      </w:r>
      <w:r>
        <w:rPr>
          <w:rFonts w:hint="eastAsia"/>
        </w:rPr>
        <w:t>名</w:t>
      </w:r>
      <w:r>
        <w:rPr>
          <w:rFonts w:hint="eastAsia"/>
          <w:color w:val="auto"/>
        </w:rPr>
        <w:t>社会学</w:t>
      </w:r>
      <w:r>
        <w:rPr>
          <w:rFonts w:hint="eastAsia"/>
        </w:rPr>
        <w:t>研究生在广东省社会科学院研究生科研创新</w:t>
      </w:r>
      <w:r>
        <w:rPr>
          <w:color w:val="auto"/>
        </w:rPr>
        <w:t>2023</w:t>
      </w:r>
      <w:r>
        <w:rPr>
          <w:rFonts w:hint="eastAsia"/>
          <w:color w:val="auto"/>
        </w:rPr>
        <w:t>年度</w:t>
      </w:r>
      <w:r>
        <w:rPr>
          <w:rFonts w:hint="eastAsia"/>
        </w:rPr>
        <w:t>项目中获得立项（见表</w:t>
      </w:r>
      <w:r>
        <w:t>8</w:t>
      </w:r>
      <w:r>
        <w:rPr>
          <w:rFonts w:hint="eastAsia"/>
        </w:rPr>
        <w:t>）。</w:t>
      </w:r>
    </w:p>
    <w:p>
      <w:pPr>
        <w:pStyle w:val="5"/>
        <w:ind w:firstLine="560"/>
        <w:rPr>
          <w:b/>
          <w:bCs w:val="0"/>
          <w:highlight w:val="yellow"/>
        </w:rPr>
      </w:pPr>
      <w:r>
        <w:rPr>
          <w:rFonts w:hint="eastAsia"/>
          <w:b/>
          <w:bCs w:val="0"/>
        </w:rPr>
        <w:t>表</w:t>
      </w:r>
      <w:r>
        <w:rPr>
          <w:b/>
          <w:bCs w:val="0"/>
        </w:rPr>
        <w:t>7  2023</w:t>
      </w:r>
      <w:r>
        <w:rPr>
          <w:rFonts w:hint="eastAsia"/>
          <w:b/>
          <w:bCs w:val="0"/>
        </w:rPr>
        <w:t>年社会学研究生参与的各类科研课题</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900"/>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序号</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ind w:firstLine="480"/>
              <w:rPr>
                <w:rFonts w:ascii="宋体" w:hAnsi="宋体"/>
                <w:szCs w:val="21"/>
              </w:rPr>
            </w:pPr>
            <w:r>
              <w:rPr>
                <w:rFonts w:hint="eastAsia" w:ascii="宋体" w:hAnsi="宋体"/>
                <w:szCs w:val="21"/>
              </w:rPr>
              <w:t>课题名称</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1</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ind w:firstLine="0"/>
              <w:jc w:val="both"/>
              <w:rPr>
                <w:rFonts w:ascii="宋体" w:hAnsi="宋体"/>
                <w:szCs w:val="21"/>
              </w:rPr>
            </w:pPr>
            <w:r>
              <w:rPr>
                <w:rFonts w:hint="eastAsia" w:ascii="宋体" w:hAnsi="宋体"/>
                <w:szCs w:val="21"/>
              </w:rPr>
              <w:t>扶贫车间与回归“附近”的团结劳动研究</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szCs w:val="21"/>
              </w:rPr>
              <w:t>省社科规划项目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2</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szCs w:val="21"/>
              </w:rPr>
            </w:pPr>
            <w:r>
              <w:rPr>
                <w:rFonts w:hint="eastAsia" w:ascii="宋体" w:hAnsi="宋体"/>
                <w:szCs w:val="21"/>
              </w:rPr>
              <w:t>省情调研网江门基地</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szCs w:val="21"/>
              </w:rPr>
              <w:t>广东省社会科学院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3</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szCs w:val="21"/>
              </w:rPr>
            </w:pPr>
            <w:r>
              <w:rPr>
                <w:rFonts w:hint="eastAsia" w:ascii="宋体" w:hAnsi="宋体"/>
                <w:szCs w:val="21"/>
              </w:rPr>
              <w:t>省情调研网梅州基地</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szCs w:val="21"/>
              </w:rPr>
              <w:t>广东省社会科学院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4</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szCs w:val="21"/>
              </w:rPr>
            </w:pPr>
            <w:r>
              <w:rPr>
                <w:rFonts w:hint="eastAsia" w:ascii="宋体" w:hAnsi="宋体"/>
                <w:szCs w:val="21"/>
              </w:rPr>
              <w:t>省情调研网韶关基地</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szCs w:val="21"/>
              </w:rPr>
              <w:t>广东省社会科学院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5</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szCs w:val="21"/>
              </w:rPr>
            </w:pPr>
            <w:r>
              <w:rPr>
                <w:rFonts w:hint="eastAsia" w:ascii="宋体" w:hAnsi="宋体"/>
                <w:szCs w:val="21"/>
              </w:rPr>
              <w:t>省情调研网深圳基地</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szCs w:val="21"/>
              </w:rPr>
              <w:t>广东省社会科学院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6</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szCs w:val="21"/>
              </w:rPr>
            </w:pPr>
            <w:r>
              <w:rPr>
                <w:rFonts w:hint="eastAsia" w:ascii="宋体" w:hAnsi="宋体"/>
                <w:color w:val="000000"/>
                <w:szCs w:val="21"/>
              </w:rPr>
              <w:t>广东省青年婚恋与生育研究</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szCs w:val="21"/>
              </w:rPr>
            </w:pPr>
            <w:r>
              <w:rPr>
                <w:rFonts w:hint="eastAsia" w:ascii="宋体" w:hAnsi="宋体"/>
                <w:color w:val="000000"/>
                <w:szCs w:val="21"/>
              </w:rPr>
              <w:t>共青团广东省委员会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7</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color w:val="000000"/>
                <w:szCs w:val="21"/>
              </w:rPr>
            </w:pPr>
            <w:r>
              <w:rPr>
                <w:rFonts w:hint="eastAsia" w:ascii="宋体" w:hAnsi="宋体"/>
                <w:color w:val="000000"/>
                <w:szCs w:val="21"/>
              </w:rPr>
              <w:t>广州市长者饭堂高质量发展研究项目</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color w:val="000000"/>
                <w:szCs w:val="21"/>
              </w:rPr>
            </w:pPr>
            <w:r>
              <w:rPr>
                <w:rFonts w:hint="eastAsia" w:ascii="宋体" w:hAnsi="宋体"/>
                <w:color w:val="000000"/>
                <w:szCs w:val="21"/>
              </w:rPr>
              <w:t>广州市民政局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8</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spacing w:line="240" w:lineRule="auto"/>
              <w:jc w:val="left"/>
              <w:rPr>
                <w:rFonts w:ascii="宋体" w:hAnsi="宋体"/>
                <w:color w:val="000000"/>
                <w:szCs w:val="21"/>
              </w:rPr>
            </w:pPr>
            <w:r>
              <w:rPr>
                <w:rFonts w:hint="eastAsia" w:ascii="宋体" w:hAnsi="宋体"/>
                <w:color w:val="000000"/>
                <w:szCs w:val="21"/>
              </w:rPr>
              <w:t>广州市妇女儿童发展规划（2021—2030年）编制</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color w:val="000000"/>
                <w:szCs w:val="21"/>
              </w:rPr>
            </w:pPr>
            <w:r>
              <w:rPr>
                <w:rFonts w:hint="eastAsia" w:ascii="宋体" w:hAnsi="宋体"/>
                <w:color w:val="000000"/>
                <w:szCs w:val="21"/>
              </w:rPr>
              <w:t>广州市妇女联合会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9</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spacing w:line="240" w:lineRule="auto"/>
              <w:jc w:val="left"/>
              <w:rPr>
                <w:rFonts w:ascii="宋体" w:hAnsi="宋体"/>
                <w:color w:val="000000"/>
                <w:szCs w:val="21"/>
              </w:rPr>
            </w:pPr>
            <w:r>
              <w:rPr>
                <w:rFonts w:hint="eastAsia" w:ascii="宋体" w:hAnsi="宋体"/>
                <w:color w:val="000000"/>
                <w:szCs w:val="21"/>
              </w:rPr>
              <w:t>中山市构建“综治中心+专业力量+社会力量 ”矛盾纠纷排查调处新机制研究</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color w:val="000000"/>
                <w:szCs w:val="21"/>
              </w:rPr>
            </w:pPr>
            <w:r>
              <w:rPr>
                <w:rFonts w:hint="eastAsia" w:ascii="宋体" w:hAnsi="宋体"/>
                <w:color w:val="000000"/>
                <w:szCs w:val="21"/>
              </w:rPr>
              <w:t>中山市委政法委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3" w:type="pct"/>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1</w:t>
            </w:r>
            <w:r>
              <w:rPr>
                <w:rFonts w:ascii="宋体" w:hAnsi="宋体"/>
                <w:szCs w:val="21"/>
              </w:rPr>
              <w:t>0</w:t>
            </w:r>
          </w:p>
        </w:tc>
        <w:tc>
          <w:tcPr>
            <w:tcW w:w="2875" w:type="pct"/>
            <w:tcBorders>
              <w:top w:val="single" w:color="auto" w:sz="4" w:space="0"/>
              <w:left w:val="single" w:color="auto" w:sz="4" w:space="0"/>
              <w:bottom w:val="single" w:color="auto" w:sz="4" w:space="0"/>
              <w:right w:val="single" w:color="auto" w:sz="4" w:space="0"/>
            </w:tcBorders>
            <w:vAlign w:val="center"/>
          </w:tcPr>
          <w:p>
            <w:pPr>
              <w:pStyle w:val="22"/>
              <w:jc w:val="left"/>
              <w:rPr>
                <w:rFonts w:ascii="宋体" w:hAnsi="宋体"/>
                <w:color w:val="000000"/>
                <w:szCs w:val="21"/>
              </w:rPr>
            </w:pPr>
            <w:r>
              <w:rPr>
                <w:rFonts w:hint="eastAsia" w:ascii="宋体" w:hAnsi="宋体"/>
                <w:color w:val="000000"/>
                <w:szCs w:val="21"/>
              </w:rPr>
              <w:t>东莞市户籍制度改革政策研究</w:t>
            </w:r>
          </w:p>
        </w:tc>
        <w:tc>
          <w:tcPr>
            <w:tcW w:w="1722" w:type="pct"/>
            <w:tcBorders>
              <w:top w:val="single" w:color="auto" w:sz="4" w:space="0"/>
              <w:left w:val="single" w:color="auto" w:sz="4" w:space="0"/>
              <w:bottom w:val="single" w:color="auto" w:sz="4" w:space="0"/>
              <w:right w:val="single" w:color="auto" w:sz="4" w:space="0"/>
            </w:tcBorders>
            <w:vAlign w:val="center"/>
          </w:tcPr>
          <w:p>
            <w:pPr>
              <w:pStyle w:val="22"/>
              <w:jc w:val="both"/>
              <w:rPr>
                <w:rFonts w:ascii="宋体" w:hAnsi="宋体"/>
                <w:color w:val="000000"/>
                <w:szCs w:val="21"/>
              </w:rPr>
            </w:pPr>
            <w:r>
              <w:rPr>
                <w:rFonts w:hint="eastAsia" w:ascii="宋体" w:hAnsi="宋体"/>
                <w:color w:val="000000"/>
                <w:szCs w:val="21"/>
              </w:rPr>
              <w:t>东莞市公安局</w:t>
            </w:r>
          </w:p>
        </w:tc>
      </w:tr>
    </w:tbl>
    <w:p>
      <w:pPr>
        <w:ind w:firstLine="0" w:firstLineChars="0"/>
        <w:rPr>
          <w:rFonts w:hint="eastAsia"/>
          <w:color w:val="FF0000"/>
        </w:rPr>
      </w:pPr>
    </w:p>
    <w:p>
      <w:pPr>
        <w:pStyle w:val="2"/>
        <w:ind w:firstLine="422"/>
        <w:jc w:val="center"/>
        <w:rPr>
          <w:b/>
          <w:bCs/>
          <w:sz w:val="21"/>
          <w:szCs w:val="21"/>
        </w:rPr>
      </w:pPr>
      <w:r>
        <w:rPr>
          <w:rFonts w:hint="eastAsia"/>
          <w:b/>
          <w:bCs/>
          <w:sz w:val="21"/>
          <w:szCs w:val="21"/>
        </w:rPr>
        <w:t>表</w:t>
      </w:r>
      <w:r>
        <w:rPr>
          <w:b/>
          <w:bCs/>
          <w:sz w:val="21"/>
          <w:szCs w:val="21"/>
        </w:rPr>
        <w:t xml:space="preserve">8. </w:t>
      </w:r>
      <w:r>
        <w:rPr>
          <w:rFonts w:hint="eastAsia"/>
          <w:b/>
          <w:bCs/>
          <w:sz w:val="21"/>
          <w:szCs w:val="21"/>
        </w:rPr>
        <w:t>广东省社会科学院研究生科研创新项目社会学研究生立项情况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1985"/>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ind w:firstLine="0" w:firstLineChars="0"/>
              <w:jc w:val="center"/>
              <w:rPr>
                <w:b w:val="0"/>
                <w:bCs w:val="0"/>
                <w:sz w:val="21"/>
                <w:szCs w:val="21"/>
              </w:rPr>
            </w:pPr>
            <w:r>
              <w:rPr>
                <w:rFonts w:hint="eastAsia"/>
                <w:b w:val="0"/>
                <w:bCs w:val="0"/>
                <w:sz w:val="21"/>
                <w:szCs w:val="21"/>
              </w:rPr>
              <w:t>序号</w:t>
            </w:r>
          </w:p>
        </w:tc>
        <w:tc>
          <w:tcPr>
            <w:tcW w:w="1134" w:type="dxa"/>
          </w:tcPr>
          <w:p>
            <w:pPr>
              <w:pStyle w:val="2"/>
              <w:ind w:firstLine="0" w:firstLineChars="0"/>
              <w:jc w:val="center"/>
              <w:rPr>
                <w:b w:val="0"/>
                <w:bCs w:val="0"/>
                <w:sz w:val="21"/>
                <w:szCs w:val="21"/>
              </w:rPr>
            </w:pPr>
            <w:r>
              <w:rPr>
                <w:rFonts w:hint="eastAsia"/>
                <w:sz w:val="21"/>
                <w:szCs w:val="21"/>
              </w:rPr>
              <w:t>申请人</w:t>
            </w:r>
          </w:p>
        </w:tc>
        <w:tc>
          <w:tcPr>
            <w:tcW w:w="1985" w:type="dxa"/>
          </w:tcPr>
          <w:p>
            <w:pPr>
              <w:pStyle w:val="2"/>
              <w:ind w:firstLine="0" w:firstLineChars="0"/>
              <w:jc w:val="center"/>
              <w:rPr>
                <w:b w:val="0"/>
                <w:bCs w:val="0"/>
                <w:sz w:val="21"/>
                <w:szCs w:val="21"/>
              </w:rPr>
            </w:pPr>
            <w:r>
              <w:rPr>
                <w:rFonts w:hint="eastAsia"/>
                <w:sz w:val="21"/>
                <w:szCs w:val="21"/>
              </w:rPr>
              <w:t>指导教师</w:t>
            </w:r>
          </w:p>
        </w:tc>
        <w:tc>
          <w:tcPr>
            <w:tcW w:w="4473" w:type="dxa"/>
          </w:tcPr>
          <w:p>
            <w:pPr>
              <w:pStyle w:val="2"/>
              <w:ind w:firstLine="0" w:firstLineChars="0"/>
              <w:jc w:val="center"/>
              <w:rPr>
                <w:b w:val="0"/>
                <w:bCs w:val="0"/>
                <w:sz w:val="21"/>
                <w:szCs w:val="21"/>
              </w:rPr>
            </w:pPr>
            <w:r>
              <w:rPr>
                <w:rFonts w:hint="eastAsia"/>
                <w:sz w:val="21"/>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ind w:firstLine="0" w:firstLineChars="0"/>
              <w:jc w:val="center"/>
              <w:rPr>
                <w:b w:val="0"/>
                <w:bCs w:val="0"/>
                <w:sz w:val="21"/>
                <w:szCs w:val="21"/>
              </w:rPr>
            </w:pPr>
            <w:r>
              <w:rPr>
                <w:b w:val="0"/>
                <w:bCs w:val="0"/>
                <w:sz w:val="21"/>
                <w:szCs w:val="21"/>
              </w:rPr>
              <w:t>1</w:t>
            </w:r>
          </w:p>
        </w:tc>
        <w:tc>
          <w:tcPr>
            <w:tcW w:w="1134"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张</w:t>
            </w:r>
            <w:r>
              <w:rPr>
                <w:rFonts w:ascii="宋体" w:hAnsi="宋体" w:eastAsia="宋体" w:cs="CESI仿宋-GB2312"/>
                <w:color w:val="000000"/>
                <w:kern w:val="0"/>
                <w:sz w:val="21"/>
                <w:szCs w:val="21"/>
                <w:lang w:bidi="ar"/>
              </w:rPr>
              <w:t xml:space="preserve">  </w:t>
            </w:r>
            <w:r>
              <w:rPr>
                <w:rFonts w:hint="eastAsia" w:ascii="宋体" w:hAnsi="宋体" w:eastAsia="宋体" w:cs="CESI仿宋-GB2312"/>
                <w:color w:val="000000"/>
                <w:kern w:val="0"/>
                <w:sz w:val="21"/>
                <w:szCs w:val="21"/>
                <w:lang w:bidi="ar"/>
              </w:rPr>
              <w:t>晗</w:t>
            </w:r>
          </w:p>
        </w:tc>
        <w:tc>
          <w:tcPr>
            <w:tcW w:w="1985"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李超海</w:t>
            </w:r>
            <w:r>
              <w:rPr>
                <w:rFonts w:ascii="宋体" w:hAnsi="宋体" w:eastAsia="宋体" w:cs="CESI仿宋-GB2312"/>
                <w:color w:val="000000"/>
                <w:kern w:val="0"/>
                <w:sz w:val="21"/>
                <w:szCs w:val="21"/>
                <w:lang w:bidi="ar"/>
              </w:rPr>
              <w:t xml:space="preserve"> 张龙</w:t>
            </w:r>
          </w:p>
        </w:tc>
        <w:tc>
          <w:tcPr>
            <w:tcW w:w="4473"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小青柑茶的“诞生”：地方性知识与饮食文化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ind w:firstLine="0" w:firstLineChars="0"/>
              <w:jc w:val="center"/>
              <w:rPr>
                <w:b w:val="0"/>
                <w:bCs w:val="0"/>
                <w:sz w:val="21"/>
                <w:szCs w:val="21"/>
              </w:rPr>
            </w:pPr>
            <w:r>
              <w:rPr>
                <w:b w:val="0"/>
                <w:bCs w:val="0"/>
                <w:sz w:val="21"/>
                <w:szCs w:val="21"/>
              </w:rPr>
              <w:t>2</w:t>
            </w:r>
          </w:p>
        </w:tc>
        <w:tc>
          <w:tcPr>
            <w:tcW w:w="1134"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于东巍</w:t>
            </w:r>
          </w:p>
        </w:tc>
        <w:tc>
          <w:tcPr>
            <w:tcW w:w="1985"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张桂金</w:t>
            </w:r>
          </w:p>
        </w:tc>
        <w:tc>
          <w:tcPr>
            <w:tcW w:w="4473"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搭子社交：青年的新交往模式及其形成机制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ind w:firstLine="0" w:firstLineChars="0"/>
              <w:jc w:val="center"/>
              <w:rPr>
                <w:b w:val="0"/>
                <w:bCs w:val="0"/>
                <w:sz w:val="21"/>
                <w:szCs w:val="21"/>
              </w:rPr>
            </w:pPr>
            <w:r>
              <w:rPr>
                <w:b w:val="0"/>
                <w:bCs w:val="0"/>
                <w:sz w:val="21"/>
                <w:szCs w:val="21"/>
              </w:rPr>
              <w:t>3</w:t>
            </w:r>
          </w:p>
        </w:tc>
        <w:tc>
          <w:tcPr>
            <w:tcW w:w="1134"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罗梁翔</w:t>
            </w:r>
          </w:p>
        </w:tc>
        <w:tc>
          <w:tcPr>
            <w:tcW w:w="1985"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李超海</w:t>
            </w:r>
          </w:p>
        </w:tc>
        <w:tc>
          <w:tcPr>
            <w:tcW w:w="4473" w:type="dxa"/>
            <w:vAlign w:val="center"/>
          </w:tcPr>
          <w:p>
            <w:pPr>
              <w:pStyle w:val="2"/>
              <w:ind w:firstLine="0" w:firstLineChars="0"/>
              <w:jc w:val="center"/>
              <w:rPr>
                <w:rFonts w:ascii="宋体" w:hAnsi="宋体"/>
                <w:b/>
                <w:bCs/>
                <w:sz w:val="21"/>
                <w:szCs w:val="21"/>
              </w:rPr>
            </w:pPr>
            <w:r>
              <w:rPr>
                <w:rFonts w:hint="eastAsia" w:ascii="宋体" w:hAnsi="宋体" w:eastAsia="宋体" w:cs="CESI仿宋-GB2312"/>
                <w:color w:val="000000"/>
                <w:kern w:val="0"/>
                <w:sz w:val="21"/>
                <w:szCs w:val="21"/>
                <w:lang w:bidi="ar"/>
              </w:rPr>
              <w:t>粤港澳大湾区港澳青年的社会融合研究</w:t>
            </w:r>
          </w:p>
        </w:tc>
      </w:tr>
    </w:tbl>
    <w:p>
      <w:pPr>
        <w:pStyle w:val="2"/>
        <w:ind w:firstLine="0" w:firstLineChars="0"/>
        <w:rPr>
          <w:rFonts w:hint="eastAsia"/>
          <w:b/>
          <w:bCs/>
          <w:color w:val="FF0000"/>
          <w:sz w:val="21"/>
          <w:szCs w:val="21"/>
        </w:rPr>
      </w:pP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此外，截止202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年12月，我院共有3家国家级科研平台，6个省级科研创新平台，10个分院，以及江门、梅州、深圳、韶关4个省情调研基地，足以支撑本学位授权点研究生社会实践调研的需求。</w:t>
      </w:r>
    </w:p>
    <w:p>
      <w:pPr>
        <w:ind w:firstLine="480"/>
      </w:pPr>
      <w:r>
        <w:rPr>
          <w:rFonts w:hint="eastAsia"/>
        </w:rPr>
        <w:t>202</w:t>
      </w:r>
      <w:r>
        <w:t>3</w:t>
      </w:r>
      <w:r>
        <w:rPr>
          <w:rFonts w:hint="eastAsia"/>
        </w:rPr>
        <w:t>年，本学位授权点未派研究生外出交流。本院主办、承办的学术会议均对研究生全面开放，并鼓励研究生参与院内外各类线上学术会议，为研究生对外交流提供更多机会</w:t>
      </w:r>
      <w:bookmarkStart w:id="38" w:name="_Hlk66977625"/>
      <w:r>
        <w:rPr>
          <w:rFonts w:hint="eastAsia"/>
        </w:rPr>
        <w:t>，使他们更多地接触优秀学者及前沿成果。</w:t>
      </w:r>
    </w:p>
    <w:p>
      <w:pPr>
        <w:ind w:firstLine="482"/>
        <w:rPr>
          <w:b/>
          <w:bCs/>
        </w:rPr>
      </w:pPr>
      <w:r>
        <w:rPr>
          <w:b/>
          <w:bCs/>
        </w:rPr>
        <w:t>3.</w:t>
      </w:r>
      <w:r>
        <w:rPr>
          <w:rFonts w:hint="eastAsia"/>
          <w:b/>
          <w:bCs/>
        </w:rPr>
        <w:t>研究生奖助情况</w:t>
      </w:r>
      <w:bookmarkEnd w:id="38"/>
    </w:p>
    <w:p>
      <w:pPr>
        <w:ind w:firstLine="480"/>
      </w:pPr>
      <w:r>
        <w:rPr>
          <w:rFonts w:hint="eastAsia"/>
        </w:rPr>
        <w:t>本学位授权点奖助体系与我院统一规定的奖助体系保持一致。</w:t>
      </w:r>
    </w:p>
    <w:p>
      <w:pPr>
        <w:ind w:firstLine="480"/>
      </w:pPr>
      <w:r>
        <w:rPr>
          <w:rFonts w:hint="eastAsia"/>
        </w:rPr>
        <w:t>奖学金分为学业奖学金和国家奖学金。学业奖学金要求符合条件的研究生100%覆盖；设立一等奖、二等奖、三等奖共计三个档次，奖励标准分别为10000元、6000元和4000元，评选办法参见我院研究生管理制度文件《广东省社会科学院学业奖学金评选暂行办法》。国家奖学金额度较高，每名奖金2万元，每年推荐2名优秀研究生申请国家奖学金，评选办法参见《国家奖学金评选试行办法》。</w:t>
      </w:r>
    </w:p>
    <w:p>
      <w:pPr>
        <w:ind w:firstLine="480"/>
      </w:pPr>
      <w:r>
        <w:rPr>
          <w:rFonts w:hint="eastAsia"/>
        </w:rPr>
        <w:t>荣誉奖励包括研究生荣誉称号和研究生优秀成果奖。研究生荣誉称号指二、三年级可以参评的优秀研究生、优秀学生干部和优秀学生党员。优秀研究生按各年级学生总数的30%评选，优秀学生干部按学生干部总数的50%评选，优秀学生党员按各年级党员（不包括预备党员）总数的5%评选；每生每年300元，获得的荣誉称号和奖励可以叠加。研究生优秀成果奖包括院级优秀学位论文奖、广东省优秀学位论文奖、广东省优秀研究生奖和考取博士奖，分别奖励1000元/人、3000元/人、3000元/人和1000元/人。对于培养研究生获得成果奖的导师同样给予培养奖荣誉，并发放等额奖金，评选依据详见《关于设置“硕士学位论文抽检优秀奖”等奖项的暂行办法》。</w:t>
      </w:r>
    </w:p>
    <w:p>
      <w:pPr>
        <w:ind w:firstLine="480"/>
      </w:pPr>
      <w:r>
        <w:rPr>
          <w:rFonts w:hint="eastAsia"/>
        </w:rPr>
        <w:t>202</w:t>
      </w:r>
      <w:r>
        <w:t>3</w:t>
      </w:r>
      <w:r>
        <w:rPr>
          <w:rFonts w:hint="eastAsia"/>
        </w:rPr>
        <w:t>年度，社会学研究生2人获得一等奖学金，</w:t>
      </w:r>
      <w:r>
        <w:t>9</w:t>
      </w:r>
      <w:r>
        <w:rPr>
          <w:rFonts w:hint="eastAsia"/>
        </w:rPr>
        <w:t>人获得二等奖学金，</w:t>
      </w:r>
      <w:r>
        <w:t>7</w:t>
      </w:r>
      <w:r>
        <w:rPr>
          <w:rFonts w:hint="eastAsia"/>
        </w:rPr>
        <w:t>人获得三等奖学金。</w:t>
      </w:r>
      <w:r>
        <w:t>2</w:t>
      </w:r>
      <w:r>
        <w:rPr>
          <w:rFonts w:hint="eastAsia"/>
        </w:rPr>
        <w:t>人被评为优秀研究生，1人获得院级优秀学位论文奖，其导师获得培养奖（见表</w:t>
      </w:r>
      <w:r>
        <w:t>9</w:t>
      </w:r>
      <w:r>
        <w:rPr>
          <w:rFonts w:hint="eastAsia"/>
        </w:rPr>
        <w:t>）。</w:t>
      </w:r>
    </w:p>
    <w:p>
      <w:pPr>
        <w:pStyle w:val="5"/>
        <w:ind w:firstLine="560"/>
        <w:rPr>
          <w:b/>
          <w:bCs w:val="0"/>
        </w:rPr>
      </w:pPr>
      <w:r>
        <w:rPr>
          <w:rFonts w:hint="eastAsia"/>
          <w:b/>
          <w:bCs w:val="0"/>
        </w:rPr>
        <w:t>表</w:t>
      </w:r>
      <w:r>
        <w:rPr>
          <w:b/>
          <w:bCs w:val="0"/>
        </w:rPr>
        <w:t>9. 2023</w:t>
      </w:r>
      <w:r>
        <w:rPr>
          <w:rFonts w:hint="eastAsia"/>
          <w:b/>
          <w:bCs w:val="0"/>
        </w:rPr>
        <w:t>年本学位授权点研究生获奖助情况</w:t>
      </w:r>
    </w:p>
    <w:tbl>
      <w:tblPr>
        <w:tblStyle w:val="1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767"/>
        <w:gridCol w:w="1891"/>
        <w:gridCol w:w="125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0" w:type="dxa"/>
            <w:gridSpan w:val="2"/>
          </w:tcPr>
          <w:p>
            <w:pPr>
              <w:pStyle w:val="22"/>
              <w:ind w:firstLine="480"/>
            </w:pPr>
            <w:r>
              <w:rPr>
                <w:rFonts w:hint="eastAsia"/>
              </w:rPr>
              <w:t>奖学金类别</w:t>
            </w:r>
          </w:p>
        </w:tc>
        <w:tc>
          <w:tcPr>
            <w:tcW w:w="1891" w:type="dxa"/>
          </w:tcPr>
          <w:p>
            <w:pPr>
              <w:pStyle w:val="22"/>
            </w:pPr>
            <w:r>
              <w:rPr>
                <w:rFonts w:hint="eastAsia"/>
              </w:rPr>
              <w:t>金 额（元）</w:t>
            </w:r>
          </w:p>
        </w:tc>
        <w:tc>
          <w:tcPr>
            <w:tcW w:w="1256" w:type="dxa"/>
          </w:tcPr>
          <w:p>
            <w:pPr>
              <w:pStyle w:val="22"/>
            </w:pPr>
            <w:r>
              <w:rPr>
                <w:rFonts w:hint="eastAsia"/>
              </w:rPr>
              <w:t>人 数</w:t>
            </w:r>
          </w:p>
        </w:tc>
        <w:tc>
          <w:tcPr>
            <w:tcW w:w="1302" w:type="dxa"/>
          </w:tcPr>
          <w:p>
            <w:pPr>
              <w:pStyle w:val="22"/>
            </w:pPr>
            <w:r>
              <w:rPr>
                <w:rFonts w:hint="eastAsia"/>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restart"/>
          </w:tcPr>
          <w:p>
            <w:pPr>
              <w:pStyle w:val="22"/>
            </w:pPr>
            <w:r>
              <w:rPr>
                <w:rFonts w:hint="eastAsia"/>
              </w:rPr>
              <w:t>奖学金</w:t>
            </w:r>
          </w:p>
        </w:tc>
        <w:tc>
          <w:tcPr>
            <w:tcW w:w="2767" w:type="dxa"/>
          </w:tcPr>
          <w:p>
            <w:pPr>
              <w:pStyle w:val="22"/>
              <w:ind w:firstLine="480"/>
            </w:pPr>
            <w:r>
              <w:rPr>
                <w:rFonts w:hint="eastAsia"/>
              </w:rPr>
              <w:t>国家奖学金</w:t>
            </w:r>
          </w:p>
        </w:tc>
        <w:tc>
          <w:tcPr>
            <w:tcW w:w="1891" w:type="dxa"/>
          </w:tcPr>
          <w:p>
            <w:pPr>
              <w:pStyle w:val="22"/>
              <w:ind w:firstLine="480"/>
              <w:jc w:val="both"/>
            </w:pPr>
            <w:r>
              <w:rPr>
                <w:rFonts w:hint="eastAsia"/>
              </w:rPr>
              <w:t>2</w:t>
            </w:r>
            <w:r>
              <w:t>0000</w:t>
            </w:r>
          </w:p>
        </w:tc>
        <w:tc>
          <w:tcPr>
            <w:tcW w:w="1256" w:type="dxa"/>
          </w:tcPr>
          <w:p>
            <w:pPr>
              <w:pStyle w:val="22"/>
              <w:ind w:firstLine="480"/>
              <w:jc w:val="both"/>
            </w:pPr>
            <w:r>
              <w:t>0</w:t>
            </w:r>
          </w:p>
        </w:tc>
        <w:tc>
          <w:tcPr>
            <w:tcW w:w="1302" w:type="dxa"/>
          </w:tcPr>
          <w:p>
            <w:pPr>
              <w:pStyle w:val="22"/>
              <w:ind w:firstLine="480"/>
              <w:jc w:val="both"/>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tcPr>
          <w:p>
            <w:pPr>
              <w:pStyle w:val="22"/>
              <w:ind w:firstLine="480"/>
            </w:pPr>
          </w:p>
        </w:tc>
        <w:tc>
          <w:tcPr>
            <w:tcW w:w="2767" w:type="dxa"/>
          </w:tcPr>
          <w:p>
            <w:pPr>
              <w:pStyle w:val="22"/>
              <w:ind w:firstLine="480"/>
            </w:pPr>
            <w:r>
              <w:rPr>
                <w:rFonts w:hint="eastAsia"/>
              </w:rPr>
              <w:t>学业奖学金一等奖</w:t>
            </w:r>
          </w:p>
        </w:tc>
        <w:tc>
          <w:tcPr>
            <w:tcW w:w="1891" w:type="dxa"/>
          </w:tcPr>
          <w:p>
            <w:pPr>
              <w:pStyle w:val="22"/>
              <w:ind w:firstLine="480"/>
              <w:jc w:val="both"/>
            </w:pPr>
            <w:r>
              <w:rPr>
                <w:rFonts w:hint="eastAsia"/>
              </w:rPr>
              <w:t>10000</w:t>
            </w:r>
          </w:p>
        </w:tc>
        <w:tc>
          <w:tcPr>
            <w:tcW w:w="1256" w:type="dxa"/>
          </w:tcPr>
          <w:p>
            <w:pPr>
              <w:pStyle w:val="22"/>
              <w:ind w:firstLine="480"/>
              <w:jc w:val="both"/>
            </w:pPr>
            <w:r>
              <w:t>2</w:t>
            </w:r>
          </w:p>
        </w:tc>
        <w:tc>
          <w:tcPr>
            <w:tcW w:w="1302" w:type="dxa"/>
          </w:tcPr>
          <w:p>
            <w:pPr>
              <w:pStyle w:val="22"/>
            </w:pPr>
            <w: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tcPr>
          <w:p>
            <w:pPr>
              <w:pStyle w:val="22"/>
              <w:ind w:firstLine="480"/>
            </w:pPr>
          </w:p>
        </w:tc>
        <w:tc>
          <w:tcPr>
            <w:tcW w:w="2767" w:type="dxa"/>
          </w:tcPr>
          <w:p>
            <w:pPr>
              <w:pStyle w:val="22"/>
              <w:ind w:firstLine="480"/>
            </w:pPr>
            <w:r>
              <w:rPr>
                <w:rFonts w:hint="eastAsia"/>
              </w:rPr>
              <w:t>学业奖学金二等奖</w:t>
            </w:r>
          </w:p>
        </w:tc>
        <w:tc>
          <w:tcPr>
            <w:tcW w:w="1891" w:type="dxa"/>
          </w:tcPr>
          <w:p>
            <w:pPr>
              <w:pStyle w:val="22"/>
              <w:ind w:firstLine="480"/>
              <w:jc w:val="both"/>
            </w:pPr>
            <w:r>
              <w:rPr>
                <w:rFonts w:hint="eastAsia"/>
              </w:rPr>
              <w:t>6000</w:t>
            </w:r>
          </w:p>
        </w:tc>
        <w:tc>
          <w:tcPr>
            <w:tcW w:w="1256" w:type="dxa"/>
          </w:tcPr>
          <w:p>
            <w:pPr>
              <w:pStyle w:val="22"/>
              <w:ind w:firstLine="480"/>
              <w:jc w:val="both"/>
            </w:pPr>
            <w:r>
              <w:rPr>
                <w:rFonts w:hint="eastAsia"/>
              </w:rPr>
              <w:t>9</w:t>
            </w:r>
          </w:p>
        </w:tc>
        <w:tc>
          <w:tcPr>
            <w:tcW w:w="1302" w:type="dxa"/>
          </w:tcPr>
          <w:p>
            <w:pPr>
              <w:pStyle w:val="22"/>
            </w:pPr>
            <w:r>
              <w:rPr>
                <w:rFonts w:hint="eastAsia"/>
              </w:rPr>
              <w:t>5</w:t>
            </w:r>
            <w:r>
              <w:t>4</w:t>
            </w: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continue"/>
          </w:tcPr>
          <w:p>
            <w:pPr>
              <w:pStyle w:val="22"/>
              <w:ind w:firstLine="480"/>
            </w:pPr>
          </w:p>
        </w:tc>
        <w:tc>
          <w:tcPr>
            <w:tcW w:w="2767" w:type="dxa"/>
          </w:tcPr>
          <w:p>
            <w:pPr>
              <w:pStyle w:val="22"/>
              <w:ind w:firstLine="480"/>
            </w:pPr>
            <w:r>
              <w:rPr>
                <w:rFonts w:hint="eastAsia"/>
              </w:rPr>
              <w:t>学业奖学金三等奖</w:t>
            </w:r>
          </w:p>
        </w:tc>
        <w:tc>
          <w:tcPr>
            <w:tcW w:w="1891" w:type="dxa"/>
          </w:tcPr>
          <w:p>
            <w:pPr>
              <w:pStyle w:val="22"/>
              <w:ind w:firstLine="480"/>
              <w:jc w:val="both"/>
            </w:pPr>
            <w:r>
              <w:rPr>
                <w:rFonts w:hint="eastAsia"/>
              </w:rPr>
              <w:t>4000</w:t>
            </w:r>
          </w:p>
        </w:tc>
        <w:tc>
          <w:tcPr>
            <w:tcW w:w="1256" w:type="dxa"/>
          </w:tcPr>
          <w:p>
            <w:pPr>
              <w:pStyle w:val="22"/>
              <w:ind w:firstLine="480"/>
              <w:jc w:val="both"/>
            </w:pPr>
            <w:r>
              <w:t>7</w:t>
            </w:r>
          </w:p>
        </w:tc>
        <w:tc>
          <w:tcPr>
            <w:tcW w:w="1302" w:type="dxa"/>
          </w:tcPr>
          <w:p>
            <w:pPr>
              <w:pStyle w:val="22"/>
            </w:pPr>
            <w:r>
              <w:t>28</w:t>
            </w: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Merge w:val="restart"/>
          </w:tcPr>
          <w:p>
            <w:pPr>
              <w:pStyle w:val="22"/>
            </w:pPr>
            <w:r>
              <w:rPr>
                <w:rFonts w:hint="eastAsia"/>
              </w:rPr>
              <w:t>荣誉奖励</w:t>
            </w:r>
          </w:p>
        </w:tc>
        <w:tc>
          <w:tcPr>
            <w:tcW w:w="2767" w:type="dxa"/>
          </w:tcPr>
          <w:p>
            <w:pPr>
              <w:pStyle w:val="22"/>
              <w:ind w:firstLine="480"/>
            </w:pPr>
            <w:r>
              <w:rPr>
                <w:rFonts w:hint="eastAsia"/>
              </w:rPr>
              <w:t>优秀研究生（院级）</w:t>
            </w:r>
          </w:p>
        </w:tc>
        <w:tc>
          <w:tcPr>
            <w:tcW w:w="1891" w:type="dxa"/>
          </w:tcPr>
          <w:p>
            <w:pPr>
              <w:pStyle w:val="22"/>
              <w:ind w:firstLine="480"/>
              <w:jc w:val="both"/>
            </w:pPr>
            <w:r>
              <w:t>300</w:t>
            </w:r>
          </w:p>
        </w:tc>
        <w:tc>
          <w:tcPr>
            <w:tcW w:w="1256" w:type="dxa"/>
          </w:tcPr>
          <w:p>
            <w:pPr>
              <w:pStyle w:val="22"/>
              <w:ind w:firstLine="480"/>
              <w:jc w:val="both"/>
            </w:pPr>
            <w:r>
              <w:t>2</w:t>
            </w:r>
          </w:p>
        </w:tc>
        <w:tc>
          <w:tcPr>
            <w:tcW w:w="1302" w:type="dxa"/>
          </w:tcPr>
          <w:p>
            <w:pPr>
              <w:pStyle w:val="22"/>
            </w:pPr>
            <w: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03" w:type="dxa"/>
            <w:vMerge w:val="continue"/>
          </w:tcPr>
          <w:p>
            <w:pPr>
              <w:pStyle w:val="22"/>
              <w:ind w:firstLine="480"/>
            </w:pPr>
          </w:p>
        </w:tc>
        <w:tc>
          <w:tcPr>
            <w:tcW w:w="2767" w:type="dxa"/>
          </w:tcPr>
          <w:p>
            <w:pPr>
              <w:pStyle w:val="22"/>
              <w:ind w:firstLine="210" w:firstLineChars="100"/>
              <w:jc w:val="both"/>
            </w:pPr>
            <w:r>
              <w:rPr>
                <w:rFonts w:hint="eastAsia"/>
              </w:rPr>
              <w:t>优秀学位论文奖（院级）</w:t>
            </w:r>
          </w:p>
        </w:tc>
        <w:tc>
          <w:tcPr>
            <w:tcW w:w="1891" w:type="dxa"/>
          </w:tcPr>
          <w:p>
            <w:pPr>
              <w:pStyle w:val="22"/>
              <w:ind w:firstLine="480"/>
              <w:jc w:val="both"/>
            </w:pPr>
            <w:r>
              <w:t>1000</w:t>
            </w:r>
          </w:p>
        </w:tc>
        <w:tc>
          <w:tcPr>
            <w:tcW w:w="1256" w:type="dxa"/>
          </w:tcPr>
          <w:p>
            <w:pPr>
              <w:pStyle w:val="22"/>
              <w:ind w:firstLine="480"/>
              <w:jc w:val="both"/>
            </w:pPr>
            <w:r>
              <w:t>1</w:t>
            </w:r>
          </w:p>
        </w:tc>
        <w:tc>
          <w:tcPr>
            <w:tcW w:w="1302" w:type="dxa"/>
          </w:tcPr>
          <w:p>
            <w:pPr>
              <w:pStyle w:val="22"/>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03" w:type="dxa"/>
            <w:vMerge w:val="continue"/>
          </w:tcPr>
          <w:p>
            <w:pPr>
              <w:pStyle w:val="22"/>
              <w:ind w:firstLine="480"/>
            </w:pPr>
          </w:p>
        </w:tc>
        <w:tc>
          <w:tcPr>
            <w:tcW w:w="2767" w:type="dxa"/>
          </w:tcPr>
          <w:p>
            <w:pPr>
              <w:pStyle w:val="22"/>
              <w:ind w:firstLine="480"/>
            </w:pPr>
            <w:r>
              <w:rPr>
                <w:rFonts w:hint="eastAsia"/>
              </w:rPr>
              <w:t>导师指导奖</w:t>
            </w:r>
          </w:p>
        </w:tc>
        <w:tc>
          <w:tcPr>
            <w:tcW w:w="1891" w:type="dxa"/>
          </w:tcPr>
          <w:p>
            <w:pPr>
              <w:pStyle w:val="22"/>
              <w:ind w:firstLine="480"/>
              <w:jc w:val="both"/>
            </w:pPr>
            <w:r>
              <w:rPr>
                <w:rFonts w:hint="eastAsia"/>
              </w:rPr>
              <w:t>1</w:t>
            </w:r>
            <w:r>
              <w:t>000</w:t>
            </w:r>
          </w:p>
        </w:tc>
        <w:tc>
          <w:tcPr>
            <w:tcW w:w="1256" w:type="dxa"/>
          </w:tcPr>
          <w:p>
            <w:pPr>
              <w:pStyle w:val="22"/>
              <w:ind w:firstLine="480"/>
              <w:jc w:val="both"/>
            </w:pPr>
            <w:r>
              <w:rPr>
                <w:rFonts w:hint="eastAsia"/>
              </w:rPr>
              <w:t>1</w:t>
            </w:r>
          </w:p>
        </w:tc>
        <w:tc>
          <w:tcPr>
            <w:tcW w:w="1302" w:type="dxa"/>
          </w:tcPr>
          <w:p>
            <w:pPr>
              <w:pStyle w:val="22"/>
            </w:pPr>
            <w:r>
              <w:rPr>
                <w:rFonts w:hint="eastAsia"/>
              </w:rPr>
              <w:t>1</w:t>
            </w: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pStyle w:val="22"/>
            </w:pPr>
            <w:r>
              <w:rPr>
                <w:rFonts w:hint="eastAsia"/>
              </w:rPr>
              <w:t>助学金</w:t>
            </w:r>
          </w:p>
        </w:tc>
        <w:tc>
          <w:tcPr>
            <w:tcW w:w="2767" w:type="dxa"/>
          </w:tcPr>
          <w:p>
            <w:pPr>
              <w:pStyle w:val="22"/>
              <w:ind w:firstLine="480"/>
            </w:pPr>
            <w:r>
              <w:rPr>
                <w:rFonts w:hint="eastAsia"/>
              </w:rPr>
              <w:t>助学金</w:t>
            </w:r>
          </w:p>
        </w:tc>
        <w:tc>
          <w:tcPr>
            <w:tcW w:w="1891" w:type="dxa"/>
          </w:tcPr>
          <w:p>
            <w:pPr>
              <w:pStyle w:val="22"/>
              <w:ind w:firstLine="480"/>
              <w:jc w:val="both"/>
            </w:pPr>
            <w:r>
              <w:rPr>
                <w:rFonts w:hint="eastAsia"/>
              </w:rPr>
              <w:t>900/人/月</w:t>
            </w:r>
          </w:p>
        </w:tc>
        <w:tc>
          <w:tcPr>
            <w:tcW w:w="1256" w:type="dxa"/>
          </w:tcPr>
          <w:p>
            <w:pPr>
              <w:pStyle w:val="22"/>
              <w:ind w:firstLine="480"/>
              <w:jc w:val="both"/>
            </w:pPr>
            <w:r>
              <w:rPr>
                <w:rFonts w:hint="eastAsia"/>
              </w:rPr>
              <w:t>2</w:t>
            </w:r>
            <w:r>
              <w:t>4</w:t>
            </w:r>
          </w:p>
        </w:tc>
        <w:tc>
          <w:tcPr>
            <w:tcW w:w="1302" w:type="dxa"/>
          </w:tcPr>
          <w:p>
            <w:pPr>
              <w:pStyle w:val="22"/>
            </w:pPr>
            <w:r>
              <w:rPr>
                <w:rFonts w:hint="eastAsia"/>
              </w:rPr>
              <w:t>1</w:t>
            </w:r>
            <w:r>
              <w:t>836</w:t>
            </w:r>
            <w:r>
              <w:rPr>
                <w:rFonts w:hint="eastAsia"/>
              </w:rPr>
              <w:t>00</w:t>
            </w:r>
          </w:p>
        </w:tc>
      </w:tr>
    </w:tbl>
    <w:p>
      <w:pPr>
        <w:ind w:firstLine="0" w:firstLineChars="0"/>
        <w:rPr>
          <w:b/>
          <w:bCs/>
        </w:rPr>
      </w:pPr>
    </w:p>
    <w:p>
      <w:pPr>
        <w:ind w:firstLine="482"/>
        <w:rPr>
          <w:b/>
          <w:bCs/>
        </w:rPr>
      </w:pPr>
      <w:r>
        <w:rPr>
          <w:b/>
          <w:bCs/>
        </w:rPr>
        <w:t xml:space="preserve">4. </w:t>
      </w:r>
      <w:r>
        <w:rPr>
          <w:rFonts w:hint="eastAsia"/>
          <w:b/>
          <w:bCs/>
        </w:rPr>
        <w:t>研究生科研成果</w:t>
      </w:r>
    </w:p>
    <w:p>
      <w:pPr>
        <w:ind w:firstLine="480"/>
      </w:pPr>
      <w:r>
        <w:rPr>
          <w:rFonts w:hint="eastAsia"/>
        </w:rPr>
        <w:t>社会学研究生积极参与写作、投稿，2</w:t>
      </w:r>
      <w:r>
        <w:t>023</w:t>
      </w:r>
      <w:r>
        <w:rPr>
          <w:rFonts w:hint="eastAsia"/>
        </w:rPr>
        <w:t>年在导师的指导和带领下共发表论文</w:t>
      </w:r>
      <w:r>
        <w:t>2</w:t>
      </w:r>
      <w:r>
        <w:rPr>
          <w:rFonts w:hint="eastAsia"/>
        </w:rPr>
        <w:t>篇，其中一篇为核心期刊（见表</w:t>
      </w:r>
      <w:r>
        <w:t>10</w:t>
      </w:r>
      <w:r>
        <w:rPr>
          <w:rFonts w:hint="eastAsia"/>
        </w:rPr>
        <w:t>）。</w:t>
      </w:r>
    </w:p>
    <w:p>
      <w:pPr>
        <w:pStyle w:val="5"/>
        <w:ind w:firstLine="560"/>
      </w:pPr>
      <w:r>
        <w:rPr>
          <w:rFonts w:hint="eastAsia"/>
          <w:b/>
          <w:bCs w:val="0"/>
        </w:rPr>
        <w:t>表</w:t>
      </w:r>
      <w:r>
        <w:rPr>
          <w:b/>
          <w:bCs w:val="0"/>
        </w:rPr>
        <w:t>10  2023</w:t>
      </w:r>
      <w:r>
        <w:rPr>
          <w:rFonts w:hint="eastAsia"/>
          <w:b/>
          <w:bCs w:val="0"/>
        </w:rPr>
        <w:t>年社会学研究生发表论文情况（含第二、第三作者）</w:t>
      </w:r>
    </w:p>
    <w:tbl>
      <w:tblPr>
        <w:tblStyle w:val="11"/>
        <w:tblW w:w="8519" w:type="dxa"/>
        <w:tblInd w:w="0" w:type="dxa"/>
        <w:tblLayout w:type="fixed"/>
        <w:tblCellMar>
          <w:top w:w="0" w:type="dxa"/>
          <w:left w:w="108" w:type="dxa"/>
          <w:bottom w:w="0" w:type="dxa"/>
          <w:right w:w="108" w:type="dxa"/>
        </w:tblCellMar>
      </w:tblPr>
      <w:tblGrid>
        <w:gridCol w:w="758"/>
        <w:gridCol w:w="3458"/>
        <w:gridCol w:w="2182"/>
        <w:gridCol w:w="2121"/>
      </w:tblGrid>
      <w:tr>
        <w:tblPrEx>
          <w:tblCellMar>
            <w:top w:w="0" w:type="dxa"/>
            <w:left w:w="108" w:type="dxa"/>
            <w:bottom w:w="0" w:type="dxa"/>
            <w:right w:w="108" w:type="dxa"/>
          </w:tblCellMar>
        </w:tblPrEx>
        <w:trPr>
          <w:trHeight w:val="570" w:hRule="atLeast"/>
        </w:trPr>
        <w:tc>
          <w:tcPr>
            <w:tcW w:w="758" w:type="dxa"/>
            <w:tcBorders>
              <w:top w:val="single" w:color="auto" w:sz="4" w:space="0"/>
              <w:left w:val="single" w:color="auto" w:sz="4" w:space="0"/>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序号</w:t>
            </w:r>
          </w:p>
        </w:tc>
        <w:tc>
          <w:tcPr>
            <w:tcW w:w="3458" w:type="dxa"/>
            <w:tcBorders>
              <w:top w:val="single" w:color="auto" w:sz="4" w:space="0"/>
              <w:left w:val="nil"/>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题目</w:t>
            </w:r>
          </w:p>
        </w:tc>
        <w:tc>
          <w:tcPr>
            <w:tcW w:w="2182" w:type="dxa"/>
            <w:tcBorders>
              <w:top w:val="single" w:color="auto" w:sz="4" w:space="0"/>
              <w:left w:val="nil"/>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期刊</w:t>
            </w:r>
          </w:p>
        </w:tc>
        <w:tc>
          <w:tcPr>
            <w:tcW w:w="2121" w:type="dxa"/>
            <w:tcBorders>
              <w:top w:val="single" w:color="auto" w:sz="4" w:space="0"/>
              <w:left w:val="nil"/>
              <w:bottom w:val="single" w:color="auto" w:sz="4" w:space="0"/>
              <w:right w:val="single" w:color="auto" w:sz="4" w:space="0"/>
            </w:tcBorders>
            <w:vAlign w:val="center"/>
          </w:tcPr>
          <w:p>
            <w:pPr>
              <w:pStyle w:val="22"/>
              <w:rPr>
                <w:rFonts w:ascii="宋体" w:hAnsi="宋体"/>
                <w:szCs w:val="21"/>
              </w:rPr>
            </w:pPr>
            <w:r>
              <w:rPr>
                <w:rFonts w:hint="eastAsia" w:ascii="宋体" w:hAnsi="宋体"/>
                <w:szCs w:val="21"/>
              </w:rPr>
              <w:t>来源</w:t>
            </w:r>
          </w:p>
        </w:tc>
      </w:tr>
      <w:tr>
        <w:tblPrEx>
          <w:tblCellMar>
            <w:top w:w="0" w:type="dxa"/>
            <w:left w:w="108" w:type="dxa"/>
            <w:bottom w:w="0" w:type="dxa"/>
            <w:right w:w="108" w:type="dxa"/>
          </w:tblCellMar>
        </w:tblPrEx>
        <w:trPr>
          <w:trHeight w:val="840" w:hRule="atLeast"/>
        </w:trPr>
        <w:tc>
          <w:tcPr>
            <w:tcW w:w="758" w:type="dxa"/>
            <w:tcBorders>
              <w:top w:val="nil"/>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1</w:t>
            </w:r>
          </w:p>
        </w:tc>
        <w:tc>
          <w:tcPr>
            <w:tcW w:w="34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s="CESI宋体-GB2312"/>
                <w:color w:val="000000"/>
                <w:kern w:val="0"/>
                <w:sz w:val="21"/>
                <w:szCs w:val="21"/>
                <w:lang w:bidi="ar"/>
              </w:rPr>
              <w:t>《广东省人口受教育程度分析》</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s="CESI宋体-GB2312"/>
                <w:color w:val="000000"/>
                <w:kern w:val="0"/>
                <w:sz w:val="21"/>
                <w:szCs w:val="21"/>
                <w:lang w:bidi="ar"/>
              </w:rPr>
              <w:t>《新经济》</w:t>
            </w:r>
          </w:p>
        </w:tc>
        <w:tc>
          <w:tcPr>
            <w:tcW w:w="2121"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olor w:val="000000"/>
                <w:sz w:val="21"/>
                <w:szCs w:val="21"/>
              </w:rPr>
            </w:pPr>
            <w:r>
              <w:rPr>
                <w:rFonts w:hint="eastAsia" w:ascii="宋体" w:hAnsi="宋体" w:cs="CESI宋体-GB2312"/>
                <w:color w:val="000000"/>
                <w:kern w:val="0"/>
                <w:sz w:val="21"/>
                <w:szCs w:val="21"/>
                <w:lang w:bidi="ar"/>
              </w:rPr>
              <w:t>一般期刊</w:t>
            </w:r>
          </w:p>
        </w:tc>
      </w:tr>
      <w:tr>
        <w:tblPrEx>
          <w:tblCellMar>
            <w:top w:w="0" w:type="dxa"/>
            <w:left w:w="108" w:type="dxa"/>
            <w:bottom w:w="0" w:type="dxa"/>
            <w:right w:w="108" w:type="dxa"/>
          </w:tblCellMar>
        </w:tblPrEx>
        <w:trPr>
          <w:trHeight w:val="840" w:hRule="atLeast"/>
        </w:trPr>
        <w:tc>
          <w:tcPr>
            <w:tcW w:w="758" w:type="dxa"/>
            <w:tcBorders>
              <w:top w:val="nil"/>
              <w:left w:val="single" w:color="auto" w:sz="4" w:space="0"/>
              <w:bottom w:val="single" w:color="auto" w:sz="4" w:space="0"/>
              <w:right w:val="single" w:color="auto" w:sz="4" w:space="0"/>
            </w:tcBorders>
            <w:vAlign w:val="center"/>
          </w:tcPr>
          <w:p>
            <w:pPr>
              <w:pStyle w:val="22"/>
              <w:rPr>
                <w:rFonts w:ascii="宋体" w:hAnsi="宋体"/>
                <w:szCs w:val="21"/>
              </w:rPr>
            </w:pPr>
            <w:r>
              <w:rPr>
                <w:rFonts w:ascii="宋体" w:hAnsi="宋体"/>
                <w:szCs w:val="21"/>
              </w:rPr>
              <w:t>2</w:t>
            </w:r>
          </w:p>
        </w:tc>
        <w:tc>
          <w:tcPr>
            <w:tcW w:w="3458" w:type="dxa"/>
            <w:tcBorders>
              <w:top w:val="nil"/>
              <w:left w:val="single" w:color="auto" w:sz="4" w:space="0"/>
              <w:bottom w:val="single" w:color="auto" w:sz="4" w:space="0"/>
              <w:right w:val="single" w:color="auto" w:sz="4" w:space="0"/>
            </w:tcBorders>
            <w:vAlign w:val="center"/>
          </w:tcPr>
          <w:p>
            <w:pPr>
              <w:ind w:firstLine="0" w:firstLineChars="0"/>
              <w:jc w:val="center"/>
              <w:rPr>
                <w:rFonts w:ascii="宋体" w:hAnsi="宋体"/>
                <w:color w:val="000000"/>
                <w:sz w:val="21"/>
                <w:szCs w:val="21"/>
              </w:rPr>
            </w:pPr>
            <w:r>
              <w:rPr>
                <w:rFonts w:hint="eastAsia" w:ascii="宋体" w:hAnsi="宋体" w:cs="CESI宋体-GB2312"/>
                <w:color w:val="000000"/>
                <w:kern w:val="0"/>
                <w:sz w:val="21"/>
                <w:szCs w:val="21"/>
                <w:lang w:bidi="ar"/>
              </w:rPr>
              <w:t>《流动青年的社会参与及影响因素研究》</w:t>
            </w:r>
          </w:p>
        </w:tc>
        <w:tc>
          <w:tcPr>
            <w:tcW w:w="2182" w:type="dxa"/>
            <w:tcBorders>
              <w:top w:val="nil"/>
              <w:left w:val="single" w:color="auto" w:sz="4" w:space="0"/>
              <w:bottom w:val="single" w:color="auto" w:sz="4" w:space="0"/>
              <w:right w:val="single" w:color="auto" w:sz="4" w:space="0"/>
            </w:tcBorders>
            <w:vAlign w:val="center"/>
          </w:tcPr>
          <w:p>
            <w:pPr>
              <w:ind w:firstLine="0" w:firstLineChars="0"/>
              <w:jc w:val="center"/>
              <w:rPr>
                <w:rFonts w:ascii="宋体" w:hAnsi="宋体"/>
                <w:color w:val="000000"/>
                <w:sz w:val="21"/>
                <w:szCs w:val="21"/>
              </w:rPr>
            </w:pPr>
            <w:r>
              <w:rPr>
                <w:rFonts w:hint="eastAsia" w:ascii="宋体" w:hAnsi="宋体" w:cs="CESI宋体-GB2312"/>
                <w:color w:val="000000"/>
                <w:kern w:val="0"/>
                <w:sz w:val="21"/>
                <w:szCs w:val="21"/>
                <w:lang w:bidi="ar"/>
              </w:rPr>
              <w:t>《中国青年社会科学》</w:t>
            </w:r>
          </w:p>
        </w:tc>
        <w:tc>
          <w:tcPr>
            <w:tcW w:w="2121" w:type="dxa"/>
            <w:tcBorders>
              <w:top w:val="nil"/>
              <w:left w:val="nil"/>
              <w:bottom w:val="single" w:color="auto" w:sz="4" w:space="0"/>
              <w:right w:val="single" w:color="auto" w:sz="4" w:space="0"/>
            </w:tcBorders>
            <w:vAlign w:val="center"/>
          </w:tcPr>
          <w:p>
            <w:pPr>
              <w:ind w:firstLine="0" w:firstLineChars="0"/>
              <w:rPr>
                <w:rFonts w:ascii="宋体" w:hAnsi="宋体"/>
                <w:color w:val="000000"/>
                <w:sz w:val="21"/>
                <w:szCs w:val="21"/>
              </w:rPr>
            </w:pPr>
            <w:r>
              <w:rPr>
                <w:rFonts w:hint="eastAsia" w:ascii="宋体" w:hAnsi="宋体" w:cs="CESI宋体-GB2312"/>
                <w:color w:val="000000"/>
                <w:kern w:val="0"/>
                <w:sz w:val="21"/>
                <w:szCs w:val="21"/>
                <w:lang w:bidi="ar"/>
              </w:rPr>
              <w:t>CSSCI、北大核心期刊；</w:t>
            </w:r>
            <w:r>
              <w:rPr>
                <w:rFonts w:hint="eastAsia"/>
                <w:sz w:val="21"/>
                <w:szCs w:val="21"/>
              </w:rPr>
              <w:t>人大复印资料《青少年导刊》2023年第12期全文转载</w:t>
            </w:r>
          </w:p>
        </w:tc>
      </w:tr>
    </w:tbl>
    <w:p>
      <w:pPr>
        <w:ind w:firstLine="0" w:firstLineChars="0"/>
      </w:pPr>
    </w:p>
    <w:p>
      <w:pPr>
        <w:ind w:firstLine="482"/>
        <w:rPr>
          <w:b/>
          <w:bCs/>
        </w:rPr>
      </w:pPr>
      <w:r>
        <w:rPr>
          <w:b/>
          <w:bCs/>
        </w:rPr>
        <w:t xml:space="preserve">5. </w:t>
      </w:r>
      <w:r>
        <w:rPr>
          <w:rFonts w:hint="eastAsia"/>
          <w:b/>
          <w:bCs/>
        </w:rPr>
        <w:t>学位论文质量</w:t>
      </w:r>
    </w:p>
    <w:p>
      <w:pPr>
        <w:ind w:firstLine="480"/>
      </w:pPr>
      <w:r>
        <w:rPr>
          <w:rFonts w:hint="eastAsia"/>
        </w:rPr>
        <w:t>202</w:t>
      </w:r>
      <w:r>
        <w:t>3</w:t>
      </w:r>
      <w:r>
        <w:rPr>
          <w:rFonts w:hint="eastAsia"/>
        </w:rPr>
        <w:t>年，社会学专业共有6篇硕士学位论文通过答辩，其中1篇优秀，4篇良好，1篇合格，没有被查出抄袭和剽窃等学位论文作假行为（见表</w:t>
      </w:r>
      <w:r>
        <w:t>11</w:t>
      </w:r>
      <w:r>
        <w:rPr>
          <w:rFonts w:hint="eastAsia"/>
        </w:rPr>
        <w:t>）。1篇论文被省学位委员会抽检，结果为良好。另外，广东省教育厅自2014年启动硕士学位论文抽检工作以来，社会学硕士学位论文抽检情况较好，未被抽检出不合格。</w:t>
      </w:r>
    </w:p>
    <w:p>
      <w:pPr>
        <w:spacing w:line="240" w:lineRule="auto"/>
        <w:ind w:firstLine="0" w:firstLineChars="0"/>
        <w:jc w:val="center"/>
        <w:rPr>
          <w:b/>
          <w:bCs/>
          <w:sz w:val="21"/>
          <w:szCs w:val="21"/>
          <w:lang w:val="en"/>
        </w:rPr>
      </w:pPr>
      <w:r>
        <w:rPr>
          <w:rFonts w:hint="eastAsia"/>
          <w:b/>
          <w:bCs/>
          <w:sz w:val="21"/>
          <w:szCs w:val="21"/>
          <w:lang w:val="en"/>
        </w:rPr>
        <w:t>表</w:t>
      </w:r>
      <w:r>
        <w:rPr>
          <w:b/>
          <w:bCs/>
          <w:sz w:val="21"/>
          <w:szCs w:val="21"/>
          <w:lang w:val="en"/>
        </w:rPr>
        <w:t>11</w:t>
      </w:r>
      <w:r>
        <w:rPr>
          <w:b/>
          <w:bCs/>
          <w:sz w:val="21"/>
          <w:szCs w:val="21"/>
        </w:rPr>
        <w:t xml:space="preserve"> </w:t>
      </w:r>
      <w:r>
        <w:rPr>
          <w:b/>
          <w:bCs/>
          <w:sz w:val="21"/>
          <w:szCs w:val="21"/>
          <w:lang w:val="en"/>
        </w:rPr>
        <w:t xml:space="preserve"> 2023</w:t>
      </w:r>
      <w:r>
        <w:rPr>
          <w:rFonts w:hint="eastAsia"/>
          <w:b/>
          <w:bCs/>
          <w:sz w:val="21"/>
          <w:szCs w:val="21"/>
          <w:lang w:val="en"/>
        </w:rPr>
        <w:t>年社会学毕业论文情况表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355"/>
        <w:gridCol w:w="1134"/>
        <w:gridCol w:w="4022"/>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 w:type="dxa"/>
          </w:tcPr>
          <w:p>
            <w:pPr>
              <w:ind w:firstLine="0" w:firstLineChars="0"/>
              <w:jc w:val="center"/>
              <w:rPr>
                <w:sz w:val="21"/>
                <w:szCs w:val="21"/>
                <w:lang w:val="en"/>
              </w:rPr>
            </w:pPr>
            <w:r>
              <w:rPr>
                <w:sz w:val="21"/>
                <w:szCs w:val="21"/>
                <w:lang w:val="en"/>
              </w:rPr>
              <w:t>姓名</w:t>
            </w:r>
          </w:p>
        </w:tc>
        <w:tc>
          <w:tcPr>
            <w:tcW w:w="1355" w:type="dxa"/>
          </w:tcPr>
          <w:p>
            <w:pPr>
              <w:ind w:firstLine="0" w:firstLineChars="0"/>
              <w:jc w:val="center"/>
              <w:rPr>
                <w:sz w:val="21"/>
                <w:szCs w:val="21"/>
                <w:lang w:val="en"/>
              </w:rPr>
            </w:pPr>
            <w:r>
              <w:rPr>
                <w:sz w:val="21"/>
                <w:szCs w:val="21"/>
                <w:lang w:val="en"/>
              </w:rPr>
              <w:t>专业方向</w:t>
            </w:r>
          </w:p>
        </w:tc>
        <w:tc>
          <w:tcPr>
            <w:tcW w:w="1134" w:type="dxa"/>
          </w:tcPr>
          <w:p>
            <w:pPr>
              <w:ind w:firstLine="0" w:firstLineChars="0"/>
              <w:jc w:val="center"/>
              <w:rPr>
                <w:sz w:val="21"/>
                <w:szCs w:val="21"/>
                <w:lang w:val="en"/>
              </w:rPr>
            </w:pPr>
            <w:r>
              <w:rPr>
                <w:sz w:val="21"/>
                <w:szCs w:val="21"/>
                <w:lang w:val="en"/>
              </w:rPr>
              <w:t>导师</w:t>
            </w:r>
          </w:p>
        </w:tc>
        <w:tc>
          <w:tcPr>
            <w:tcW w:w="4022" w:type="dxa"/>
          </w:tcPr>
          <w:p>
            <w:pPr>
              <w:ind w:firstLine="0" w:firstLineChars="0"/>
              <w:jc w:val="center"/>
              <w:rPr>
                <w:sz w:val="21"/>
                <w:szCs w:val="21"/>
                <w:lang w:val="en"/>
              </w:rPr>
            </w:pPr>
            <w:r>
              <w:rPr>
                <w:sz w:val="21"/>
                <w:szCs w:val="21"/>
                <w:lang w:val="en"/>
              </w:rPr>
              <w:t>论文题目</w:t>
            </w:r>
          </w:p>
        </w:tc>
        <w:tc>
          <w:tcPr>
            <w:tcW w:w="846" w:type="dxa"/>
          </w:tcPr>
          <w:p>
            <w:pPr>
              <w:ind w:firstLine="0" w:firstLineChars="0"/>
              <w:jc w:val="center"/>
              <w:rPr>
                <w:sz w:val="21"/>
                <w:szCs w:val="21"/>
                <w:lang w:val="en"/>
              </w:rPr>
            </w:pPr>
            <w:r>
              <w:rPr>
                <w:sz w:val="21"/>
                <w:szCs w:val="21"/>
                <w:lang w:val="e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罗安</w:t>
            </w:r>
          </w:p>
        </w:tc>
        <w:tc>
          <w:tcPr>
            <w:tcW w:w="1355" w:type="dxa"/>
            <w:vAlign w:val="center"/>
          </w:tcPr>
          <w:p>
            <w:pPr>
              <w:spacing w:line="240" w:lineRule="auto"/>
              <w:ind w:firstLine="0" w:firstLineChars="0"/>
              <w:jc w:val="center"/>
              <w:rPr>
                <w:sz w:val="21"/>
                <w:szCs w:val="21"/>
                <w:lang w:val="en"/>
              </w:rPr>
            </w:pPr>
            <w:r>
              <w:rPr>
                <w:rFonts w:hint="eastAsia" w:ascii="宋体" w:hAnsi="宋体" w:cs="宋体"/>
                <w:sz w:val="21"/>
                <w:szCs w:val="21"/>
              </w:rPr>
              <w:t>社会学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左晓斯</w:t>
            </w:r>
          </w:p>
        </w:tc>
        <w:tc>
          <w:tcPr>
            <w:tcW w:w="4022" w:type="dxa"/>
            <w:vAlign w:val="center"/>
          </w:tcPr>
          <w:p>
            <w:pPr>
              <w:spacing w:line="300" w:lineRule="auto"/>
              <w:ind w:firstLine="0" w:firstLineChars="0"/>
              <w:rPr>
                <w:sz w:val="21"/>
                <w:szCs w:val="21"/>
              </w:rPr>
            </w:pPr>
            <w:r>
              <w:rPr>
                <w:rFonts w:hint="eastAsia" w:ascii="宋体" w:hAnsi="宋体"/>
                <w:sz w:val="21"/>
                <w:szCs w:val="21"/>
              </w:rPr>
              <w:t>《</w:t>
            </w:r>
            <w:r>
              <w:rPr>
                <w:rFonts w:hint="eastAsia"/>
                <w:sz w:val="21"/>
                <w:szCs w:val="21"/>
              </w:rPr>
              <w:t>空间再生产：旧村改造与新型城镇化</w:t>
            </w:r>
          </w:p>
          <w:p>
            <w:pPr>
              <w:spacing w:line="240" w:lineRule="auto"/>
              <w:ind w:firstLine="0" w:firstLineChars="0"/>
              <w:rPr>
                <w:sz w:val="21"/>
                <w:szCs w:val="21"/>
                <w:lang w:val="en"/>
              </w:rPr>
            </w:pPr>
            <w:r>
              <w:rPr>
                <w:rFonts w:hint="eastAsia"/>
                <w:sz w:val="21"/>
                <w:szCs w:val="21"/>
              </w:rPr>
              <w:t>——基于文冲社区的实证研究</w:t>
            </w:r>
            <w:r>
              <w:rPr>
                <w:rFonts w:hint="eastAsia" w:ascii="宋体" w:hAnsi="宋体"/>
                <w:sz w:val="21"/>
                <w:szCs w:val="21"/>
              </w:rPr>
              <w:t>》</w:t>
            </w:r>
          </w:p>
        </w:tc>
        <w:tc>
          <w:tcPr>
            <w:tcW w:w="846" w:type="dxa"/>
            <w:vAlign w:val="center"/>
          </w:tcPr>
          <w:p>
            <w:pPr>
              <w:spacing w:line="240" w:lineRule="auto"/>
              <w:ind w:firstLine="0" w:firstLineChars="0"/>
              <w:jc w:val="center"/>
              <w:rPr>
                <w:sz w:val="21"/>
                <w:szCs w:val="21"/>
                <w:lang w:val="en"/>
              </w:rPr>
            </w:pPr>
            <w:r>
              <w:rPr>
                <w:rFonts w:ascii="宋体"/>
                <w:sz w:val="21"/>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王炎祥</w:t>
            </w:r>
          </w:p>
        </w:tc>
        <w:tc>
          <w:tcPr>
            <w:tcW w:w="1355" w:type="dxa"/>
            <w:vAlign w:val="center"/>
          </w:tcPr>
          <w:p>
            <w:pPr>
              <w:spacing w:line="240" w:lineRule="auto"/>
              <w:ind w:firstLine="0" w:firstLineChars="0"/>
              <w:jc w:val="center"/>
              <w:rPr>
                <w:sz w:val="21"/>
                <w:szCs w:val="21"/>
                <w:lang w:val="en"/>
              </w:rPr>
            </w:pPr>
            <w:r>
              <w:rPr>
                <w:rFonts w:hint="eastAsia" w:ascii="宋体" w:hAnsi="宋体" w:cs="宋体"/>
                <w:sz w:val="21"/>
                <w:szCs w:val="21"/>
              </w:rPr>
              <w:t>社会学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梁理文</w:t>
            </w:r>
          </w:p>
        </w:tc>
        <w:tc>
          <w:tcPr>
            <w:tcW w:w="4022" w:type="dxa"/>
            <w:vAlign w:val="center"/>
          </w:tcPr>
          <w:p>
            <w:pPr>
              <w:spacing w:line="240" w:lineRule="auto"/>
              <w:ind w:firstLine="0" w:firstLineChars="0"/>
              <w:rPr>
                <w:sz w:val="21"/>
                <w:szCs w:val="21"/>
                <w:lang w:val="en"/>
              </w:rPr>
            </w:pPr>
            <w:r>
              <w:rPr>
                <w:rFonts w:hint="eastAsia" w:ascii="宋体" w:hAnsi="宋体"/>
                <w:sz w:val="21"/>
                <w:szCs w:val="21"/>
              </w:rPr>
              <w:t>《繁荣与脆弱：中等收入群体结构变动研究》</w:t>
            </w:r>
          </w:p>
        </w:tc>
        <w:tc>
          <w:tcPr>
            <w:tcW w:w="846" w:type="dxa"/>
            <w:vAlign w:val="center"/>
          </w:tcPr>
          <w:p>
            <w:pPr>
              <w:spacing w:line="240" w:lineRule="auto"/>
              <w:ind w:firstLine="0" w:firstLineChars="0"/>
              <w:jc w:val="center"/>
              <w:rPr>
                <w:sz w:val="21"/>
                <w:szCs w:val="21"/>
                <w:lang w:val="en"/>
              </w:rPr>
            </w:pPr>
            <w:r>
              <w:rPr>
                <w:rFonts w:ascii="宋体"/>
                <w:sz w:val="21"/>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臧晓航</w:t>
            </w:r>
          </w:p>
        </w:tc>
        <w:tc>
          <w:tcPr>
            <w:tcW w:w="1355" w:type="dxa"/>
            <w:vAlign w:val="center"/>
          </w:tcPr>
          <w:p>
            <w:pPr>
              <w:spacing w:line="240" w:lineRule="auto"/>
              <w:ind w:firstLine="0" w:firstLineChars="0"/>
              <w:jc w:val="center"/>
              <w:rPr>
                <w:sz w:val="21"/>
                <w:szCs w:val="21"/>
                <w:lang w:val="en"/>
              </w:rPr>
            </w:pPr>
            <w:r>
              <w:rPr>
                <w:rFonts w:hint="eastAsia" w:ascii="宋体" w:hAnsi="宋体" w:cs="宋体"/>
                <w:sz w:val="21"/>
                <w:szCs w:val="21"/>
              </w:rPr>
              <w:t>社会学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邓智平</w:t>
            </w:r>
          </w:p>
        </w:tc>
        <w:tc>
          <w:tcPr>
            <w:tcW w:w="4022" w:type="dxa"/>
            <w:vAlign w:val="center"/>
          </w:tcPr>
          <w:p>
            <w:pPr>
              <w:spacing w:line="240" w:lineRule="auto"/>
              <w:ind w:firstLine="0" w:firstLineChars="0"/>
              <w:rPr>
                <w:sz w:val="21"/>
                <w:szCs w:val="21"/>
                <w:lang w:val="en"/>
              </w:rPr>
            </w:pPr>
            <w:r>
              <w:rPr>
                <w:rFonts w:hint="eastAsia" w:ascii="宋体" w:hAnsi="宋体"/>
                <w:sz w:val="21"/>
                <w:szCs w:val="21"/>
              </w:rPr>
              <w:t>《</w:t>
            </w:r>
            <w:r>
              <w:rPr>
                <w:rFonts w:hint="eastAsia"/>
                <w:sz w:val="21"/>
                <w:szCs w:val="21"/>
              </w:rPr>
              <w:t>老人随迁对城市新移民工作—家庭平衡的影响研究</w:t>
            </w:r>
            <w:r>
              <w:rPr>
                <w:rFonts w:hint="eastAsia" w:ascii="宋体" w:hAnsi="宋体"/>
                <w:sz w:val="21"/>
                <w:szCs w:val="21"/>
              </w:rPr>
              <w:t>》</w:t>
            </w:r>
          </w:p>
        </w:tc>
        <w:tc>
          <w:tcPr>
            <w:tcW w:w="846" w:type="dxa"/>
            <w:vAlign w:val="center"/>
          </w:tcPr>
          <w:p>
            <w:pPr>
              <w:spacing w:line="240" w:lineRule="auto"/>
              <w:ind w:firstLine="0" w:firstLineChars="0"/>
              <w:jc w:val="center"/>
              <w:rPr>
                <w:sz w:val="21"/>
                <w:szCs w:val="21"/>
                <w:lang w:val="en"/>
              </w:rPr>
            </w:pPr>
            <w:r>
              <w:rPr>
                <w:rFonts w:ascii="宋体"/>
                <w:sz w:val="21"/>
                <w:szCs w:val="21"/>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陈</w:t>
            </w:r>
            <w:bookmarkStart w:id="39" w:name="_Hlk156399843"/>
            <w:r>
              <w:rPr>
                <w:rFonts w:hint="eastAsia" w:ascii="宋体" w:hAnsi="宋体" w:cs="宋体"/>
                <w:sz w:val="21"/>
                <w:szCs w:val="21"/>
              </w:rPr>
              <w:t>杰铠</w:t>
            </w:r>
            <w:bookmarkEnd w:id="39"/>
          </w:p>
        </w:tc>
        <w:tc>
          <w:tcPr>
            <w:tcW w:w="1355" w:type="dxa"/>
            <w:vAlign w:val="center"/>
          </w:tcPr>
          <w:p>
            <w:pPr>
              <w:spacing w:line="240" w:lineRule="auto"/>
              <w:ind w:firstLine="0" w:firstLineChars="0"/>
              <w:jc w:val="center"/>
              <w:rPr>
                <w:sz w:val="21"/>
                <w:szCs w:val="21"/>
                <w:lang w:val="en"/>
              </w:rPr>
            </w:pPr>
            <w:r>
              <w:rPr>
                <w:rFonts w:hint="eastAsia" w:ascii="宋体" w:hAnsi="宋体" w:cs="宋体"/>
                <w:sz w:val="21"/>
                <w:szCs w:val="21"/>
              </w:rPr>
              <w:t>人口学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刘梦琴</w:t>
            </w:r>
          </w:p>
        </w:tc>
        <w:tc>
          <w:tcPr>
            <w:tcW w:w="4022" w:type="dxa"/>
            <w:vAlign w:val="center"/>
          </w:tcPr>
          <w:p>
            <w:pPr>
              <w:spacing w:line="240" w:lineRule="auto"/>
              <w:ind w:firstLine="0" w:firstLineChars="0"/>
              <w:rPr>
                <w:sz w:val="21"/>
                <w:szCs w:val="21"/>
                <w:lang w:val="en"/>
              </w:rPr>
            </w:pPr>
            <w:r>
              <w:rPr>
                <w:rFonts w:hint="eastAsia" w:ascii="宋体" w:hAnsi="宋体"/>
                <w:sz w:val="21"/>
                <w:szCs w:val="21"/>
              </w:rPr>
              <w:t>《流动育龄妇女的性别角色观念对生育意愿影响研究》</w:t>
            </w:r>
          </w:p>
        </w:tc>
        <w:tc>
          <w:tcPr>
            <w:tcW w:w="846" w:type="dxa"/>
            <w:vAlign w:val="center"/>
          </w:tcPr>
          <w:p>
            <w:pPr>
              <w:spacing w:line="240" w:lineRule="auto"/>
              <w:ind w:firstLine="0" w:firstLineChars="0"/>
              <w:jc w:val="center"/>
              <w:rPr>
                <w:sz w:val="21"/>
                <w:szCs w:val="21"/>
                <w:lang w:val="en"/>
              </w:rPr>
            </w:pPr>
            <w:r>
              <w:rPr>
                <w:rFonts w:hint="eastAsia" w:ascii="宋体"/>
                <w:sz w:val="21"/>
                <w:szCs w:val="21"/>
              </w:rPr>
              <w:t>良/抽检结果良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袁湘鹤</w:t>
            </w:r>
          </w:p>
        </w:tc>
        <w:tc>
          <w:tcPr>
            <w:tcW w:w="135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kern w:val="0"/>
                <w:sz w:val="21"/>
                <w:szCs w:val="21"/>
                <w:lang w:val="en"/>
              </w:rPr>
            </w:pPr>
            <w:r>
              <w:rPr>
                <w:rFonts w:hint="eastAsia" w:ascii="宋体" w:hAnsi="宋体" w:cs="宋体"/>
                <w:sz w:val="21"/>
                <w:szCs w:val="21"/>
              </w:rPr>
              <w:t>人口学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解韬</w:t>
            </w:r>
          </w:p>
        </w:tc>
        <w:tc>
          <w:tcPr>
            <w:tcW w:w="4022" w:type="dxa"/>
            <w:vAlign w:val="center"/>
          </w:tcPr>
          <w:p>
            <w:pPr>
              <w:spacing w:line="300" w:lineRule="auto"/>
              <w:ind w:firstLine="0" w:firstLineChars="0"/>
              <w:rPr>
                <w:sz w:val="21"/>
                <w:szCs w:val="21"/>
              </w:rPr>
            </w:pPr>
            <w:r>
              <w:rPr>
                <w:rFonts w:hint="eastAsia" w:ascii="宋体" w:hAnsi="宋体"/>
                <w:sz w:val="21"/>
                <w:szCs w:val="21"/>
              </w:rPr>
              <w:t>《儿童</w:t>
            </w:r>
            <w:r>
              <w:rPr>
                <w:rFonts w:hint="eastAsia"/>
                <w:sz w:val="21"/>
                <w:szCs w:val="21"/>
              </w:rPr>
              <w:t>正式照料对二孩生育意愿的影响</w:t>
            </w:r>
          </w:p>
          <w:p>
            <w:pPr>
              <w:spacing w:line="240" w:lineRule="auto"/>
              <w:ind w:firstLine="0" w:firstLineChars="0"/>
              <w:rPr>
                <w:sz w:val="21"/>
                <w:szCs w:val="21"/>
                <w:lang w:val="en"/>
              </w:rPr>
            </w:pPr>
            <w:r>
              <w:rPr>
                <w:rFonts w:hint="eastAsia"/>
                <w:sz w:val="21"/>
                <w:szCs w:val="21"/>
              </w:rPr>
              <w:t>——基于中国家庭追踪调查的分析</w:t>
            </w:r>
            <w:r>
              <w:rPr>
                <w:rFonts w:hint="eastAsia" w:ascii="宋体" w:hAnsi="宋体"/>
                <w:sz w:val="21"/>
                <w:szCs w:val="21"/>
              </w:rPr>
              <w:t>》</w:t>
            </w:r>
          </w:p>
        </w:tc>
        <w:tc>
          <w:tcPr>
            <w:tcW w:w="846" w:type="dxa"/>
            <w:vAlign w:val="center"/>
          </w:tcPr>
          <w:p>
            <w:pPr>
              <w:spacing w:line="240" w:lineRule="auto"/>
              <w:ind w:firstLine="0" w:firstLineChars="0"/>
              <w:jc w:val="center"/>
              <w:rPr>
                <w:sz w:val="21"/>
                <w:szCs w:val="21"/>
                <w:lang w:val="en"/>
              </w:rPr>
            </w:pPr>
            <w:r>
              <w:rPr>
                <w:rFonts w:hint="eastAsia" w:ascii="宋体"/>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39" w:type="dxa"/>
            <w:vAlign w:val="center"/>
          </w:tcPr>
          <w:p>
            <w:pPr>
              <w:ind w:firstLine="0" w:firstLineChars="0"/>
              <w:jc w:val="center"/>
              <w:rPr>
                <w:kern w:val="0"/>
                <w:sz w:val="21"/>
                <w:szCs w:val="21"/>
                <w:lang w:val="en"/>
              </w:rPr>
            </w:pPr>
            <w:r>
              <w:rPr>
                <w:rFonts w:hint="eastAsia" w:ascii="宋体" w:hAnsi="宋体" w:cs="宋体"/>
                <w:sz w:val="21"/>
                <w:szCs w:val="21"/>
              </w:rPr>
              <w:t>杨静萱</w:t>
            </w:r>
          </w:p>
        </w:tc>
        <w:tc>
          <w:tcPr>
            <w:tcW w:w="135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kern w:val="0"/>
                <w:sz w:val="21"/>
                <w:szCs w:val="21"/>
                <w:lang w:val="en"/>
              </w:rPr>
            </w:pPr>
            <w:r>
              <w:rPr>
                <w:rFonts w:hint="eastAsia" w:ascii="宋体" w:hAnsi="宋体" w:cs="宋体"/>
                <w:sz w:val="21"/>
                <w:szCs w:val="21"/>
              </w:rPr>
              <w:t>民俗学</w:t>
            </w:r>
          </w:p>
        </w:tc>
        <w:tc>
          <w:tcPr>
            <w:tcW w:w="1134"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center"/>
              <w:rPr>
                <w:sz w:val="21"/>
                <w:szCs w:val="21"/>
                <w:lang w:val="en"/>
              </w:rPr>
            </w:pPr>
            <w:r>
              <w:rPr>
                <w:rFonts w:hint="eastAsia" w:ascii="宋体" w:hAnsi="宋体" w:cs="宋体"/>
                <w:sz w:val="21"/>
                <w:szCs w:val="21"/>
              </w:rPr>
              <w:t>左晓斯</w:t>
            </w:r>
          </w:p>
        </w:tc>
        <w:tc>
          <w:tcPr>
            <w:tcW w:w="4022" w:type="dxa"/>
            <w:vAlign w:val="center"/>
          </w:tcPr>
          <w:p>
            <w:pPr>
              <w:spacing w:line="240" w:lineRule="auto"/>
              <w:ind w:firstLine="0" w:firstLineChars="0"/>
              <w:rPr>
                <w:sz w:val="21"/>
                <w:szCs w:val="21"/>
                <w:lang w:val="en"/>
              </w:rPr>
            </w:pPr>
            <w:r>
              <w:rPr>
                <w:rFonts w:hint="eastAsia" w:ascii="宋体" w:hAnsi="宋体"/>
                <w:sz w:val="21"/>
                <w:szCs w:val="21"/>
              </w:rPr>
              <w:t>《</w:t>
            </w:r>
            <w:r>
              <w:rPr>
                <w:rFonts w:hint="eastAsia" w:ascii="宋体" w:hAnsi="宋体"/>
                <w:sz w:val="21"/>
                <w:szCs w:val="21"/>
                <w:lang w:val="en"/>
              </w:rPr>
              <w:t>再造“祖荫”：旧村改造中的祠堂和祠堂文化变迁</w:t>
            </w:r>
            <w:r>
              <w:rPr>
                <w:rFonts w:hint="eastAsia" w:ascii="宋体" w:hAnsi="宋体"/>
                <w:sz w:val="21"/>
                <w:szCs w:val="21"/>
              </w:rPr>
              <w:t>》</w:t>
            </w:r>
          </w:p>
        </w:tc>
        <w:tc>
          <w:tcPr>
            <w:tcW w:w="846" w:type="dxa"/>
            <w:vAlign w:val="center"/>
          </w:tcPr>
          <w:p>
            <w:pPr>
              <w:spacing w:line="240" w:lineRule="auto"/>
              <w:ind w:firstLine="0" w:firstLineChars="0"/>
              <w:jc w:val="center"/>
              <w:rPr>
                <w:sz w:val="21"/>
                <w:szCs w:val="21"/>
                <w:lang w:val="en"/>
              </w:rPr>
            </w:pPr>
            <w:r>
              <w:rPr>
                <w:rFonts w:hint="eastAsia" w:ascii="宋体"/>
                <w:sz w:val="21"/>
                <w:szCs w:val="21"/>
              </w:rPr>
              <w:t>优</w:t>
            </w:r>
          </w:p>
        </w:tc>
      </w:tr>
    </w:tbl>
    <w:p>
      <w:pPr>
        <w:ind w:firstLine="0" w:firstLineChars="0"/>
        <w:rPr>
          <w:sz w:val="21"/>
          <w:szCs w:val="21"/>
        </w:rPr>
      </w:pPr>
    </w:p>
    <w:p>
      <w:pPr>
        <w:ind w:firstLine="482"/>
        <w:rPr>
          <w:b/>
          <w:bCs/>
        </w:rPr>
      </w:pPr>
      <w:r>
        <w:rPr>
          <w:b/>
          <w:bCs/>
        </w:rPr>
        <w:t xml:space="preserve">6. </w:t>
      </w:r>
      <w:r>
        <w:rPr>
          <w:rFonts w:hint="eastAsia"/>
          <w:b/>
          <w:bCs/>
        </w:rPr>
        <w:t>就业情况</w:t>
      </w:r>
    </w:p>
    <w:p>
      <w:pPr>
        <w:ind w:firstLine="480"/>
      </w:pPr>
      <w:r>
        <w:rPr>
          <w:rFonts w:hint="eastAsia"/>
        </w:rPr>
        <w:t>202</w:t>
      </w:r>
      <w:r>
        <w:t>3</w:t>
      </w:r>
      <w:r>
        <w:rPr>
          <w:rFonts w:hint="eastAsia"/>
        </w:rPr>
        <w:t>年社会学学位授权点毕业生就业率为</w:t>
      </w:r>
      <w:r>
        <w:t>100</w:t>
      </w:r>
      <w:r>
        <w:rPr>
          <w:rFonts w:hint="eastAsia"/>
        </w:rPr>
        <w:t>%。其中</w:t>
      </w:r>
      <w:r>
        <w:t>2</w:t>
      </w:r>
      <w:r>
        <w:rPr>
          <w:rFonts w:hint="eastAsia"/>
        </w:rPr>
        <w:t>人就业于党政机关，2人就业于事业单位，</w:t>
      </w:r>
      <w:r>
        <w:t>2</w:t>
      </w:r>
      <w:r>
        <w:rPr>
          <w:rFonts w:hint="eastAsia"/>
        </w:rPr>
        <w:t>人就业于民营企业。毕业生具有较好的理论基础和实践能力，工作上手较快、执行能力较强，符合当前社会对应用型和复合型人才的要求，总体就业质量较好，深受用人单位好评。</w:t>
      </w:r>
    </w:p>
    <w:p>
      <w:pPr>
        <w:pStyle w:val="3"/>
        <w:ind w:firstLine="643" w:firstLineChars="200"/>
        <w:rPr>
          <w:sz w:val="32"/>
          <w:szCs w:val="32"/>
        </w:rPr>
      </w:pPr>
      <w:bookmarkStart w:id="40" w:name="_Toc100943479"/>
      <w:bookmarkStart w:id="41" w:name="_Toc129542939"/>
      <w:bookmarkStart w:id="42" w:name="_Toc157897012"/>
      <w:r>
        <w:rPr>
          <w:rFonts w:hint="eastAsia"/>
          <w:sz w:val="32"/>
          <w:szCs w:val="32"/>
        </w:rPr>
        <w:t>四、</w:t>
      </w:r>
      <w:bookmarkEnd w:id="40"/>
      <w:r>
        <w:rPr>
          <w:rFonts w:hint="eastAsia"/>
          <w:sz w:val="32"/>
          <w:szCs w:val="32"/>
        </w:rPr>
        <w:t>自我评估开展情况和持续改进计划</w:t>
      </w:r>
      <w:bookmarkEnd w:id="41"/>
      <w:bookmarkEnd w:id="42"/>
    </w:p>
    <w:p>
      <w:pPr>
        <w:pStyle w:val="4"/>
        <w:ind w:firstLine="602"/>
      </w:pPr>
      <w:bookmarkStart w:id="43" w:name="_Toc100943480"/>
      <w:bookmarkStart w:id="44" w:name="_Toc157897013"/>
      <w:bookmarkStart w:id="45" w:name="_Toc129542940"/>
      <w:r>
        <w:rPr>
          <w:rFonts w:hint="eastAsia"/>
        </w:rPr>
        <w:t>（一）学科自我评估进展及问题分析</w:t>
      </w:r>
      <w:bookmarkEnd w:id="43"/>
      <w:bookmarkEnd w:id="44"/>
      <w:bookmarkEnd w:id="45"/>
    </w:p>
    <w:p>
      <w:pPr>
        <w:ind w:firstLine="482"/>
        <w:rPr>
          <w:b/>
          <w:bCs/>
        </w:rPr>
      </w:pPr>
      <w:r>
        <w:rPr>
          <w:rFonts w:hint="eastAsia"/>
          <w:b/>
          <w:bCs/>
        </w:rPr>
        <w:t>1.自我评估进展</w:t>
      </w:r>
    </w:p>
    <w:p>
      <w:pPr>
        <w:ind w:firstLine="480"/>
      </w:pPr>
      <w:r>
        <w:rPr>
          <w:rFonts w:hint="eastAsia"/>
        </w:rPr>
        <w:t>本学位授权点依据我院研究生部制订的《2020-2025年广东省社会科学院学位授权点自我评估工作方案》开展学科自我评估，目前已进行至202</w:t>
      </w:r>
      <w:r>
        <w:t>4</w:t>
      </w:r>
      <w:r>
        <w:rPr>
          <w:rFonts w:hint="eastAsia"/>
        </w:rPr>
        <w:t>年的编制年度报告阶段。目的在于通过编制年度建设报告等发现学位点上年度研究生培养、导师和教师队伍建设以及研究生管理服务等方面存在的问题，提出解决方案。通过动态化、可持续的方式确保本学位授权点的研究生培养质量保持平稳并不断提升，为我国社会主义现代化建设事业，为政府部门、高等院校、科研机构、各类企事业单位输送更多更高素质的高级专业人才。</w:t>
      </w:r>
    </w:p>
    <w:p>
      <w:pPr>
        <w:spacing w:after="156" w:afterLines="50"/>
        <w:ind w:firstLine="0" w:firstLineChars="0"/>
        <w:jc w:val="center"/>
        <w:rPr>
          <w:b/>
          <w:bCs/>
          <w:sz w:val="21"/>
          <w:szCs w:val="21"/>
        </w:rPr>
      </w:pPr>
      <w:r>
        <w:rPr>
          <w:rFonts w:hint="eastAsia"/>
          <w:b/>
          <w:bCs/>
          <w:sz w:val="21"/>
          <w:szCs w:val="21"/>
        </w:rPr>
        <w:t>表</w:t>
      </w:r>
      <w:r>
        <w:rPr>
          <w:b/>
          <w:bCs/>
          <w:sz w:val="21"/>
          <w:szCs w:val="21"/>
        </w:rPr>
        <w:t>12  2021-2025</w:t>
      </w:r>
      <w:r>
        <w:rPr>
          <w:rFonts w:hint="eastAsia"/>
          <w:b/>
          <w:bCs/>
          <w:sz w:val="21"/>
          <w:szCs w:val="21"/>
        </w:rPr>
        <w:t>年自我评估工作时间节点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67"/>
        <w:gridCol w:w="407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7" w:type="dxa"/>
            <w:vAlign w:val="center"/>
          </w:tcPr>
          <w:p>
            <w:pPr>
              <w:pStyle w:val="22"/>
              <w:widowControl w:val="0"/>
              <w:adjustRightInd w:val="0"/>
              <w:snapToGrid w:val="0"/>
              <w:spacing w:line="240" w:lineRule="auto"/>
              <w:ind w:firstLine="0"/>
              <w:rPr>
                <w:b/>
                <w:bCs/>
                <w:sz w:val="21"/>
                <w:szCs w:val="21"/>
              </w:rPr>
            </w:pPr>
            <w:r>
              <w:rPr>
                <w:rFonts w:hint="eastAsia"/>
                <w:b/>
                <w:bCs/>
                <w:sz w:val="21"/>
                <w:szCs w:val="21"/>
              </w:rPr>
              <w:t>工作时间</w:t>
            </w:r>
          </w:p>
        </w:tc>
        <w:tc>
          <w:tcPr>
            <w:tcW w:w="1467" w:type="dxa"/>
            <w:vAlign w:val="center"/>
          </w:tcPr>
          <w:p>
            <w:pPr>
              <w:pStyle w:val="22"/>
              <w:widowControl w:val="0"/>
              <w:adjustRightInd w:val="0"/>
              <w:snapToGrid w:val="0"/>
              <w:spacing w:line="240" w:lineRule="auto"/>
              <w:ind w:firstLine="0"/>
              <w:rPr>
                <w:b/>
                <w:bCs/>
                <w:sz w:val="21"/>
                <w:szCs w:val="21"/>
              </w:rPr>
            </w:pPr>
            <w:r>
              <w:rPr>
                <w:rFonts w:hint="eastAsia"/>
                <w:b/>
                <w:bCs/>
                <w:sz w:val="21"/>
                <w:szCs w:val="21"/>
              </w:rPr>
              <w:t>工作概要</w:t>
            </w:r>
          </w:p>
        </w:tc>
        <w:tc>
          <w:tcPr>
            <w:tcW w:w="4077" w:type="dxa"/>
            <w:vAlign w:val="center"/>
          </w:tcPr>
          <w:p>
            <w:pPr>
              <w:pStyle w:val="22"/>
              <w:widowControl w:val="0"/>
              <w:adjustRightInd w:val="0"/>
              <w:snapToGrid w:val="0"/>
              <w:spacing w:line="240" w:lineRule="auto"/>
              <w:ind w:firstLine="0"/>
              <w:rPr>
                <w:b/>
                <w:bCs/>
                <w:sz w:val="21"/>
                <w:szCs w:val="21"/>
              </w:rPr>
            </w:pPr>
            <w:r>
              <w:rPr>
                <w:rFonts w:hint="eastAsia"/>
                <w:b/>
                <w:bCs/>
                <w:sz w:val="21"/>
                <w:szCs w:val="21"/>
              </w:rPr>
              <w:t>工作内容</w:t>
            </w:r>
          </w:p>
        </w:tc>
        <w:tc>
          <w:tcPr>
            <w:tcW w:w="1639" w:type="dxa"/>
            <w:vAlign w:val="center"/>
          </w:tcPr>
          <w:p>
            <w:pPr>
              <w:pStyle w:val="22"/>
              <w:widowControl w:val="0"/>
              <w:adjustRightInd w:val="0"/>
              <w:snapToGrid w:val="0"/>
              <w:spacing w:line="240" w:lineRule="auto"/>
              <w:ind w:firstLine="0"/>
              <w:rPr>
                <w:b/>
                <w:bCs/>
                <w:sz w:val="21"/>
                <w:szCs w:val="21"/>
              </w:rPr>
            </w:pPr>
            <w:r>
              <w:rPr>
                <w:rFonts w:hint="eastAsia"/>
                <w:b/>
                <w:bCs/>
                <w:sz w:val="21"/>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w:t>
            </w:r>
            <w:r>
              <w:rPr>
                <w:rFonts w:hint="eastAsia"/>
                <w:sz w:val="21"/>
                <w:szCs w:val="21"/>
              </w:rPr>
              <w:t>年</w:t>
            </w:r>
            <w:r>
              <w:rPr>
                <w:sz w:val="21"/>
                <w:szCs w:val="21"/>
              </w:rPr>
              <w:t>2</w:t>
            </w:r>
            <w:r>
              <w:rPr>
                <w:rFonts w:hint="eastAsia"/>
                <w:sz w:val="21"/>
                <w:szCs w:val="21"/>
              </w:rPr>
              <w:t>月</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学习文件</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《国务院学位委员会</w:t>
            </w:r>
            <w:r>
              <w:rPr>
                <w:sz w:val="21"/>
                <w:szCs w:val="21"/>
              </w:rPr>
              <w:t xml:space="preserve"> </w:t>
            </w:r>
            <w:r>
              <w:rPr>
                <w:rFonts w:hint="eastAsia"/>
                <w:sz w:val="21"/>
                <w:szCs w:val="21"/>
              </w:rPr>
              <w:t>教育部关于开展</w:t>
            </w:r>
            <w:r>
              <w:rPr>
                <w:sz w:val="21"/>
                <w:szCs w:val="21"/>
              </w:rPr>
              <w:t>2020-2025</w:t>
            </w:r>
            <w:r>
              <w:rPr>
                <w:rFonts w:hint="eastAsia"/>
                <w:sz w:val="21"/>
                <w:szCs w:val="21"/>
              </w:rPr>
              <w:t>年学位授权点周期性合格评估工作的通知》（学位〔</w:t>
            </w:r>
            <w:r>
              <w:rPr>
                <w:sz w:val="21"/>
                <w:szCs w:val="21"/>
              </w:rPr>
              <w:t>2020</w:t>
            </w:r>
            <w:r>
              <w:rPr>
                <w:rFonts w:hint="eastAsia"/>
                <w:sz w:val="21"/>
                <w:szCs w:val="21"/>
              </w:rPr>
              <w:t>〕</w:t>
            </w:r>
            <w:r>
              <w:rPr>
                <w:sz w:val="21"/>
                <w:szCs w:val="21"/>
              </w:rPr>
              <w:t>26</w:t>
            </w:r>
            <w:r>
              <w:rPr>
                <w:rFonts w:hint="eastAsia"/>
                <w:sz w:val="21"/>
                <w:szCs w:val="21"/>
              </w:rPr>
              <w:t>号）、《学位授权点合格评估办法》（学位〔</w:t>
            </w:r>
            <w:r>
              <w:rPr>
                <w:sz w:val="21"/>
                <w:szCs w:val="21"/>
              </w:rPr>
              <w:t>2020</w:t>
            </w:r>
            <w:r>
              <w:rPr>
                <w:rFonts w:hint="eastAsia"/>
                <w:sz w:val="21"/>
                <w:szCs w:val="21"/>
              </w:rPr>
              <w:t>〕</w:t>
            </w:r>
            <w:r>
              <w:rPr>
                <w:sz w:val="21"/>
                <w:szCs w:val="21"/>
              </w:rPr>
              <w:t>25</w:t>
            </w:r>
            <w:r>
              <w:rPr>
                <w:rFonts w:hint="eastAsia"/>
                <w:sz w:val="21"/>
                <w:szCs w:val="21"/>
              </w:rPr>
              <w:t>号）</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2021-2025</w:t>
            </w:r>
            <w:r>
              <w:rPr>
                <w:rFonts w:hint="eastAsia"/>
                <w:sz w:val="21"/>
                <w:szCs w:val="21"/>
              </w:rPr>
              <w:t>年</w:t>
            </w:r>
            <w:r>
              <w:rPr>
                <w:sz w:val="21"/>
                <w:szCs w:val="21"/>
              </w:rPr>
              <w:t>3</w:t>
            </w:r>
            <w:r>
              <w:rPr>
                <w:rFonts w:hint="eastAsia"/>
                <w:sz w:val="21"/>
                <w:szCs w:val="21"/>
              </w:rPr>
              <w:t>月</w:t>
            </w:r>
            <w:r>
              <w:rPr>
                <w:sz w:val="21"/>
                <w:szCs w:val="21"/>
              </w:rPr>
              <w:t>15</w:t>
            </w:r>
            <w:r>
              <w:rPr>
                <w:rFonts w:hint="eastAsia"/>
                <w:sz w:val="21"/>
                <w:szCs w:val="21"/>
              </w:rPr>
              <w:t>日前</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编制年度报告上报</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各学位授权点编制《研究生教育发展质量年度报告》、《学位授权点建设年度报告》，上报省教育厅备案，脱密后按年度在本单位门户网站发布</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w:t>
            </w:r>
            <w:r>
              <w:rPr>
                <w:rFonts w:hint="eastAsia"/>
                <w:sz w:val="21"/>
                <w:szCs w:val="21"/>
              </w:rPr>
              <w:t>年</w:t>
            </w:r>
            <w:r>
              <w:rPr>
                <w:sz w:val="21"/>
                <w:szCs w:val="21"/>
              </w:rPr>
              <w:t>4</w:t>
            </w:r>
            <w:r>
              <w:rPr>
                <w:rFonts w:hint="eastAsia"/>
                <w:sz w:val="21"/>
                <w:szCs w:val="21"/>
              </w:rPr>
              <w:t>月</w:t>
            </w:r>
            <w:r>
              <w:rPr>
                <w:sz w:val="21"/>
                <w:szCs w:val="21"/>
              </w:rPr>
              <w:t>6</w:t>
            </w:r>
            <w:r>
              <w:rPr>
                <w:rFonts w:hint="eastAsia"/>
                <w:sz w:val="21"/>
                <w:szCs w:val="21"/>
              </w:rPr>
              <w:t>日前</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上报参评点</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应用经济学（</w:t>
            </w:r>
            <w:r>
              <w:rPr>
                <w:sz w:val="21"/>
                <w:szCs w:val="21"/>
              </w:rPr>
              <w:t>020200</w:t>
            </w:r>
            <w:r>
              <w:rPr>
                <w:rFonts w:hint="eastAsia"/>
                <w:sz w:val="21"/>
                <w:szCs w:val="21"/>
              </w:rPr>
              <w:t>）、社会学（</w:t>
            </w:r>
            <w:r>
              <w:rPr>
                <w:sz w:val="21"/>
                <w:szCs w:val="21"/>
              </w:rPr>
              <w:t>030300</w:t>
            </w:r>
            <w:r>
              <w:rPr>
                <w:rFonts w:hint="eastAsia"/>
                <w:sz w:val="21"/>
                <w:szCs w:val="21"/>
              </w:rPr>
              <w:t>）、中国史（</w:t>
            </w:r>
            <w:r>
              <w:rPr>
                <w:sz w:val="21"/>
                <w:szCs w:val="21"/>
              </w:rPr>
              <w:t>060200</w:t>
            </w:r>
            <w:r>
              <w:rPr>
                <w:rFonts w:hint="eastAsia"/>
                <w:sz w:val="21"/>
                <w:szCs w:val="21"/>
              </w:rPr>
              <w:t>）</w:t>
            </w:r>
            <w:r>
              <w:rPr>
                <w:sz w:val="21"/>
                <w:szCs w:val="21"/>
              </w:rPr>
              <w:t>3</w:t>
            </w:r>
            <w:r>
              <w:rPr>
                <w:rFonts w:hint="eastAsia"/>
                <w:sz w:val="21"/>
                <w:szCs w:val="21"/>
              </w:rPr>
              <w:t>个一级学科授权点参评。报省教育厅备案</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w:t>
            </w:r>
            <w:r>
              <w:rPr>
                <w:rFonts w:hint="eastAsia"/>
                <w:sz w:val="21"/>
                <w:szCs w:val="21"/>
              </w:rPr>
              <w:t>年</w:t>
            </w:r>
            <w:r>
              <w:rPr>
                <w:sz w:val="21"/>
                <w:szCs w:val="21"/>
              </w:rPr>
              <w:t>5</w:t>
            </w:r>
            <w:r>
              <w:rPr>
                <w:rFonts w:hint="eastAsia"/>
                <w:sz w:val="21"/>
                <w:szCs w:val="21"/>
              </w:rPr>
              <w:t>月</w:t>
            </w:r>
            <w:r>
              <w:rPr>
                <w:sz w:val="21"/>
                <w:szCs w:val="21"/>
              </w:rPr>
              <w:t>10</w:t>
            </w:r>
            <w:r>
              <w:rPr>
                <w:rFonts w:hint="eastAsia"/>
                <w:sz w:val="21"/>
                <w:szCs w:val="21"/>
              </w:rPr>
              <w:t>前</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起草、最后确定工作方案</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起草、确定《评估工作方案》，上报</w:t>
            </w:r>
            <w:r>
              <w:rPr>
                <w:sz w:val="21"/>
                <w:szCs w:val="21"/>
              </w:rPr>
              <w:t>“</w:t>
            </w:r>
            <w:r>
              <w:rPr>
                <w:rFonts w:hint="eastAsia"/>
                <w:sz w:val="21"/>
                <w:szCs w:val="21"/>
              </w:rPr>
              <w:t>全国学位与研究生教育质量信息平台</w:t>
            </w:r>
            <w:r>
              <w:rPr>
                <w:sz w:val="21"/>
                <w:szCs w:val="21"/>
              </w:rPr>
              <w:t>”</w:t>
            </w:r>
            <w:r>
              <w:rPr>
                <w:rFonts w:hint="eastAsia"/>
                <w:sz w:val="21"/>
                <w:szCs w:val="21"/>
              </w:rPr>
              <w:t>向社会公布</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w:t>
            </w:r>
            <w:r>
              <w:rPr>
                <w:rFonts w:hint="eastAsia"/>
                <w:sz w:val="21"/>
                <w:szCs w:val="21"/>
              </w:rPr>
              <w:t>年</w:t>
            </w:r>
            <w:r>
              <w:rPr>
                <w:sz w:val="21"/>
                <w:szCs w:val="21"/>
              </w:rPr>
              <w:t>4-5</w:t>
            </w:r>
            <w:r>
              <w:rPr>
                <w:rFonts w:hint="eastAsia"/>
                <w:sz w:val="21"/>
                <w:szCs w:val="21"/>
              </w:rPr>
              <w:t>月</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聘请专家，初步沟通</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聘请不少于</w:t>
            </w:r>
            <w:r>
              <w:rPr>
                <w:sz w:val="21"/>
                <w:szCs w:val="21"/>
              </w:rPr>
              <w:t>5</w:t>
            </w:r>
            <w:r>
              <w:rPr>
                <w:rFonts w:hint="eastAsia"/>
                <w:sz w:val="21"/>
                <w:szCs w:val="21"/>
              </w:rPr>
              <w:t>名本学科领域水平较高专家，进行初步沟通，听取对评估工作安排的意见</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2021</w:t>
            </w:r>
            <w:r>
              <w:rPr>
                <w:rFonts w:hint="eastAsia"/>
                <w:sz w:val="21"/>
                <w:szCs w:val="21"/>
              </w:rPr>
              <w:t>年</w:t>
            </w:r>
            <w:r>
              <w:rPr>
                <w:sz w:val="21"/>
                <w:szCs w:val="21"/>
              </w:rPr>
              <w:t>7</w:t>
            </w:r>
            <w:r>
              <w:rPr>
                <w:rFonts w:hint="eastAsia"/>
                <w:sz w:val="21"/>
                <w:szCs w:val="21"/>
              </w:rPr>
              <w:t>月</w:t>
            </w:r>
            <w:r>
              <w:rPr>
                <w:sz w:val="21"/>
                <w:szCs w:val="21"/>
              </w:rPr>
              <w:t>-2022</w:t>
            </w:r>
            <w:r>
              <w:rPr>
                <w:rFonts w:hint="eastAsia"/>
                <w:sz w:val="21"/>
                <w:szCs w:val="21"/>
              </w:rPr>
              <w:t>年</w:t>
            </w:r>
            <w:r>
              <w:rPr>
                <w:sz w:val="21"/>
                <w:szCs w:val="21"/>
              </w:rPr>
              <w:t>9</w:t>
            </w:r>
            <w:r>
              <w:rPr>
                <w:rFonts w:hint="eastAsia"/>
                <w:sz w:val="21"/>
                <w:szCs w:val="21"/>
              </w:rPr>
              <w:t>月</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准备材料，进行自我评估</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根据最终确定的评估安排和要求，组织自我评估材料。评估材料提前发送专家，根据专家意见，补充完善自评材料</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2022</w:t>
            </w:r>
            <w:r>
              <w:rPr>
                <w:rFonts w:hint="eastAsia"/>
                <w:sz w:val="21"/>
                <w:szCs w:val="21"/>
              </w:rPr>
              <w:t>年</w:t>
            </w:r>
            <w:r>
              <w:rPr>
                <w:sz w:val="21"/>
                <w:szCs w:val="21"/>
              </w:rPr>
              <w:t>3</w:t>
            </w:r>
            <w:r>
              <w:rPr>
                <w:rFonts w:hint="eastAsia"/>
                <w:sz w:val="21"/>
                <w:szCs w:val="21"/>
              </w:rPr>
              <w:t>月、</w:t>
            </w:r>
            <w:r>
              <w:rPr>
                <w:sz w:val="21"/>
                <w:szCs w:val="21"/>
              </w:rPr>
              <w:t>2025</w:t>
            </w:r>
            <w:r>
              <w:rPr>
                <w:rFonts w:hint="eastAsia"/>
                <w:sz w:val="21"/>
                <w:szCs w:val="21"/>
              </w:rPr>
              <w:t>年</w:t>
            </w:r>
            <w:r>
              <w:rPr>
                <w:sz w:val="21"/>
                <w:szCs w:val="21"/>
              </w:rPr>
              <w:t>3</w:t>
            </w:r>
            <w:r>
              <w:rPr>
                <w:rFonts w:hint="eastAsia"/>
                <w:sz w:val="21"/>
                <w:szCs w:val="21"/>
              </w:rPr>
              <w:t>月底</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填报《学位授权点基本状态信息表》</w:t>
            </w:r>
          </w:p>
        </w:tc>
        <w:tc>
          <w:tcPr>
            <w:tcW w:w="4077" w:type="dxa"/>
            <w:vAlign w:val="center"/>
          </w:tcPr>
          <w:p>
            <w:pPr>
              <w:pStyle w:val="22"/>
              <w:widowControl w:val="0"/>
              <w:adjustRightInd w:val="0"/>
              <w:snapToGrid w:val="0"/>
              <w:spacing w:line="240" w:lineRule="auto"/>
              <w:ind w:firstLine="420" w:firstLineChars="200"/>
              <w:jc w:val="both"/>
              <w:rPr>
                <w:sz w:val="21"/>
                <w:szCs w:val="21"/>
              </w:rPr>
            </w:pPr>
            <w:r>
              <w:rPr>
                <w:rFonts w:hint="eastAsia"/>
                <w:sz w:val="21"/>
                <w:szCs w:val="21"/>
              </w:rPr>
              <w:t>填报《学位授权点基本状态信息表》上报国务院学位委员会办公室、省学位委员会</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各导师组、研究生部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2022</w:t>
            </w:r>
            <w:r>
              <w:rPr>
                <w:rFonts w:hint="eastAsia"/>
                <w:sz w:val="21"/>
                <w:szCs w:val="21"/>
              </w:rPr>
              <w:t>年</w:t>
            </w:r>
            <w:r>
              <w:rPr>
                <w:sz w:val="21"/>
                <w:szCs w:val="21"/>
              </w:rPr>
              <w:t>9</w:t>
            </w:r>
            <w:r>
              <w:rPr>
                <w:rFonts w:hint="eastAsia"/>
                <w:sz w:val="21"/>
                <w:szCs w:val="21"/>
              </w:rPr>
              <w:t>月</w:t>
            </w:r>
            <w:r>
              <w:rPr>
                <w:sz w:val="21"/>
                <w:szCs w:val="21"/>
              </w:rPr>
              <w:t>-2023</w:t>
            </w:r>
            <w:r>
              <w:rPr>
                <w:rFonts w:hint="eastAsia"/>
                <w:sz w:val="21"/>
                <w:szCs w:val="21"/>
              </w:rPr>
              <w:t>年</w:t>
            </w:r>
            <w:r>
              <w:rPr>
                <w:sz w:val="21"/>
                <w:szCs w:val="21"/>
              </w:rPr>
              <w:t>5</w:t>
            </w:r>
            <w:r>
              <w:rPr>
                <w:rFonts w:hint="eastAsia"/>
                <w:sz w:val="21"/>
                <w:szCs w:val="21"/>
              </w:rPr>
              <w:t>月</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专家评估</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评估专家听取总体汇报、与师生和管理人员座谈、查阅有关资料等方式，了解学位授权点基本情况。专家组经过充分讨论，提出诊断式意见，指出问题与不足，并提出改进建议。</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评估专家、各导师组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2024</w:t>
            </w:r>
            <w:r>
              <w:rPr>
                <w:rFonts w:hint="eastAsia"/>
                <w:sz w:val="21"/>
                <w:szCs w:val="21"/>
              </w:rPr>
              <w:t>年</w:t>
            </w:r>
            <w:r>
              <w:rPr>
                <w:sz w:val="21"/>
                <w:szCs w:val="21"/>
              </w:rPr>
              <w:t>1</w:t>
            </w:r>
            <w:r>
              <w:rPr>
                <w:rFonts w:hint="eastAsia"/>
                <w:sz w:val="21"/>
                <w:szCs w:val="21"/>
              </w:rPr>
              <w:t>月</w:t>
            </w:r>
            <w:r>
              <w:rPr>
                <w:sz w:val="21"/>
                <w:szCs w:val="21"/>
              </w:rPr>
              <w:t>-2024</w:t>
            </w:r>
            <w:r>
              <w:rPr>
                <w:rFonts w:hint="eastAsia"/>
                <w:sz w:val="21"/>
                <w:szCs w:val="21"/>
              </w:rPr>
              <w:t>年</w:t>
            </w:r>
            <w:r>
              <w:rPr>
                <w:sz w:val="21"/>
                <w:szCs w:val="21"/>
              </w:rPr>
              <w:t>7</w:t>
            </w:r>
            <w:r>
              <w:rPr>
                <w:rFonts w:hint="eastAsia"/>
                <w:sz w:val="21"/>
                <w:szCs w:val="21"/>
              </w:rPr>
              <w:t>月</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进行总结性评估，得出评估结果并进行改进和提升</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召开院学位授权点评估工作领导小组会议，根据专家评议意见，确定各授权点评估结果，完成学位授权点改进提升方案</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评估工作领导小组、各导师组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2024</w:t>
            </w:r>
            <w:r>
              <w:rPr>
                <w:rFonts w:hint="eastAsia"/>
                <w:sz w:val="21"/>
                <w:szCs w:val="21"/>
              </w:rPr>
              <w:t>年</w:t>
            </w:r>
            <w:r>
              <w:rPr>
                <w:sz w:val="21"/>
                <w:szCs w:val="21"/>
              </w:rPr>
              <w:t>7</w:t>
            </w:r>
            <w:r>
              <w:rPr>
                <w:rFonts w:hint="eastAsia"/>
                <w:sz w:val="21"/>
                <w:szCs w:val="21"/>
              </w:rPr>
              <w:t>月</w:t>
            </w:r>
            <w:r>
              <w:rPr>
                <w:sz w:val="21"/>
                <w:szCs w:val="21"/>
              </w:rPr>
              <w:t>-2025</w:t>
            </w:r>
            <w:r>
              <w:rPr>
                <w:rFonts w:hint="eastAsia"/>
                <w:sz w:val="21"/>
                <w:szCs w:val="21"/>
              </w:rPr>
              <w:t>年</w:t>
            </w:r>
            <w:r>
              <w:rPr>
                <w:sz w:val="21"/>
                <w:szCs w:val="21"/>
              </w:rPr>
              <w:t>3</w:t>
            </w:r>
            <w:r>
              <w:rPr>
                <w:rFonts w:hint="eastAsia"/>
                <w:sz w:val="21"/>
                <w:szCs w:val="21"/>
              </w:rPr>
              <w:t>月底前</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编写总结报告并上报</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编写《学位授权点自我评估总结报告》、填写《学位授权点自我评估汇总表》等，上报</w:t>
            </w:r>
            <w:r>
              <w:rPr>
                <w:sz w:val="21"/>
                <w:szCs w:val="21"/>
              </w:rPr>
              <w:t>“</w:t>
            </w:r>
            <w:r>
              <w:rPr>
                <w:rFonts w:hint="eastAsia"/>
                <w:sz w:val="21"/>
                <w:szCs w:val="21"/>
              </w:rPr>
              <w:t>全国学位与研究生教育质量信息平台</w:t>
            </w:r>
            <w:r>
              <w:rPr>
                <w:sz w:val="21"/>
                <w:szCs w:val="21"/>
              </w:rPr>
              <w:t>”</w:t>
            </w:r>
            <w:r>
              <w:rPr>
                <w:rFonts w:hint="eastAsia"/>
                <w:sz w:val="21"/>
                <w:szCs w:val="21"/>
              </w:rPr>
              <w:t>向社会公开</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评估工作领导小组、研究生部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7" w:type="dxa"/>
            <w:vAlign w:val="center"/>
          </w:tcPr>
          <w:p>
            <w:pPr>
              <w:pStyle w:val="22"/>
              <w:widowControl w:val="0"/>
              <w:adjustRightInd w:val="0"/>
              <w:snapToGrid w:val="0"/>
              <w:spacing w:line="240" w:lineRule="auto"/>
              <w:ind w:firstLine="0"/>
              <w:jc w:val="both"/>
              <w:rPr>
                <w:sz w:val="21"/>
                <w:szCs w:val="21"/>
              </w:rPr>
            </w:pPr>
            <w:r>
              <w:rPr>
                <w:sz w:val="21"/>
                <w:szCs w:val="21"/>
              </w:rPr>
              <w:t>2025</w:t>
            </w:r>
            <w:r>
              <w:rPr>
                <w:rFonts w:hint="eastAsia"/>
                <w:sz w:val="21"/>
                <w:szCs w:val="21"/>
              </w:rPr>
              <w:t>年</w:t>
            </w:r>
            <w:r>
              <w:rPr>
                <w:sz w:val="21"/>
                <w:szCs w:val="21"/>
              </w:rPr>
              <w:t>3</w:t>
            </w:r>
            <w:r>
              <w:rPr>
                <w:rFonts w:hint="eastAsia"/>
                <w:sz w:val="21"/>
                <w:szCs w:val="21"/>
              </w:rPr>
              <w:t>月后</w:t>
            </w:r>
          </w:p>
        </w:tc>
        <w:tc>
          <w:tcPr>
            <w:tcW w:w="1467"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接受省学位委员会抽评</w:t>
            </w:r>
          </w:p>
        </w:tc>
        <w:tc>
          <w:tcPr>
            <w:tcW w:w="4077" w:type="dxa"/>
            <w:vAlign w:val="center"/>
          </w:tcPr>
          <w:p>
            <w:pPr>
              <w:pStyle w:val="22"/>
              <w:widowControl w:val="0"/>
              <w:adjustRightInd w:val="0"/>
              <w:snapToGrid w:val="0"/>
              <w:spacing w:line="240" w:lineRule="auto"/>
              <w:ind w:firstLine="480"/>
              <w:jc w:val="both"/>
              <w:rPr>
                <w:sz w:val="21"/>
                <w:szCs w:val="21"/>
              </w:rPr>
            </w:pPr>
            <w:r>
              <w:rPr>
                <w:rFonts w:hint="eastAsia"/>
                <w:sz w:val="21"/>
                <w:szCs w:val="21"/>
              </w:rPr>
              <w:t>评价材料为各学位授予单位的《研究生教育发展质量年度报告》、《学位授权点建设年度报告》、《学位授权点自我评估总结报告》、《基本状况信息表》、连续</w:t>
            </w:r>
            <w:r>
              <w:rPr>
                <w:sz w:val="21"/>
                <w:szCs w:val="21"/>
              </w:rPr>
              <w:t>5</w:t>
            </w:r>
            <w:r>
              <w:rPr>
                <w:rFonts w:hint="eastAsia"/>
                <w:sz w:val="21"/>
                <w:szCs w:val="21"/>
              </w:rPr>
              <w:t>年的研究生培养方案、自评专家意见和改进方案</w:t>
            </w:r>
          </w:p>
        </w:tc>
        <w:tc>
          <w:tcPr>
            <w:tcW w:w="1639" w:type="dxa"/>
            <w:vAlign w:val="center"/>
          </w:tcPr>
          <w:p>
            <w:pPr>
              <w:pStyle w:val="22"/>
              <w:widowControl w:val="0"/>
              <w:adjustRightInd w:val="0"/>
              <w:snapToGrid w:val="0"/>
              <w:spacing w:line="240" w:lineRule="auto"/>
              <w:ind w:firstLine="0"/>
              <w:jc w:val="both"/>
              <w:rPr>
                <w:sz w:val="21"/>
                <w:szCs w:val="21"/>
              </w:rPr>
            </w:pPr>
            <w:r>
              <w:rPr>
                <w:rFonts w:hint="eastAsia"/>
                <w:sz w:val="21"/>
                <w:szCs w:val="21"/>
              </w:rPr>
              <w:t>省学位委员会</w:t>
            </w:r>
          </w:p>
        </w:tc>
      </w:tr>
    </w:tbl>
    <w:p>
      <w:pPr>
        <w:pStyle w:val="2"/>
        <w:ind w:firstLine="480"/>
      </w:pPr>
    </w:p>
    <w:p>
      <w:pPr>
        <w:ind w:firstLine="480"/>
      </w:pPr>
      <w:r>
        <w:rPr>
          <w:rFonts w:hint="eastAsia"/>
        </w:rPr>
        <w:t>按照《工作方案》要求，</w:t>
      </w:r>
      <w:r>
        <w:t>2023</w:t>
      </w:r>
      <w:r>
        <w:rPr>
          <w:rFonts w:hint="eastAsia"/>
        </w:rPr>
        <w:t>年5月17日，本学位授权点在社科中心三楼会议室召开社会学一级学科硕士学位授权点专家评估会议。专家组成员充分肯定我院办学的优势，认为我院学科点依托我院基地平台，切合广东社会经济发展的需求，办学方向明确、办学特色鲜明、培养方案符合教育部要求、教育教学制度完备。经过评议，专家组一致同意学位授权点评估结论为合格。此外，专家组还建议我院在考核评价体系中充分体现对研究生教育培养的重要性并提高其权重、加强师资力量的梯队建设、加大研究生的招生宣传广度和力度。</w:t>
      </w:r>
    </w:p>
    <w:p>
      <w:pPr>
        <w:ind w:firstLine="482"/>
        <w:rPr>
          <w:b/>
          <w:bCs/>
        </w:rPr>
      </w:pPr>
      <w:r>
        <w:rPr>
          <w:rFonts w:hint="eastAsia"/>
          <w:b/>
          <w:bCs/>
        </w:rPr>
        <w:t>2.自我评估问题分析</w:t>
      </w:r>
    </w:p>
    <w:p>
      <w:pPr>
        <w:ind w:firstLine="480"/>
      </w:pPr>
      <w:r>
        <w:rPr>
          <w:rFonts w:hint="eastAsia"/>
        </w:rPr>
        <w:t>通过自我评估，202</w:t>
      </w:r>
      <w:r>
        <w:t>3</w:t>
      </w:r>
      <w:r>
        <w:rPr>
          <w:rFonts w:hint="eastAsia"/>
        </w:rPr>
        <w:t>年本学位授权点主要存在以下问题：一是师资结构有待优化、师资力量有待加强。2</w:t>
      </w:r>
      <w:r>
        <w:t>023</w:t>
      </w:r>
      <w:r>
        <w:rPr>
          <w:rFonts w:hint="eastAsia"/>
        </w:rPr>
        <w:t>年，本学位授权点有2位正高职称研究生导师到年龄退休，需要继续进行人才结构优化和完善。二是国际交流有待加强。教师参加国外学术会议和发表英文论文数量不多，学生缺乏交换留学的经历。三是生源中第一志愿录取率不高，2</w:t>
      </w:r>
      <w:r>
        <w:t>023</w:t>
      </w:r>
      <w:r>
        <w:rPr>
          <w:rFonts w:hint="eastAsia"/>
        </w:rPr>
        <w:t>年没有第一志愿上线录取学生。</w:t>
      </w:r>
    </w:p>
    <w:p>
      <w:pPr>
        <w:pStyle w:val="4"/>
        <w:ind w:firstLine="602"/>
      </w:pPr>
      <w:bookmarkStart w:id="46" w:name="_Toc100943481"/>
      <w:bookmarkStart w:id="47" w:name="_Toc157897014"/>
      <w:bookmarkStart w:id="48" w:name="_Toc129542941"/>
      <w:r>
        <w:rPr>
          <w:rFonts w:hint="eastAsia"/>
        </w:rPr>
        <w:t>（二）</w:t>
      </w:r>
      <w:bookmarkEnd w:id="46"/>
      <w:r>
        <w:rPr>
          <w:rFonts w:hint="eastAsia"/>
        </w:rPr>
        <w:t>改进计划</w:t>
      </w:r>
      <w:bookmarkEnd w:id="47"/>
      <w:bookmarkEnd w:id="48"/>
    </w:p>
    <w:p>
      <w:pPr>
        <w:ind w:firstLine="480"/>
      </w:pPr>
      <w:r>
        <w:rPr>
          <w:rFonts w:hint="eastAsia"/>
        </w:rPr>
        <w:t>在广东省社会科学院学科建设总体战略框架下，本学位授权点高度重视专家评估意见，努力做到“以评促建”，不断提升研究生教育质量。一是努力提高本学位授权点在全国的学术地位和影响力，吸引更多优质大学生源报考。二是不断优化导师队伍结构，实现新增更多研究员和副研究员，同时整合现有学术骨干，搭建学术团队，建强导师队伍。三是细化完善教学管理制度，加强教学改革创新投入力度和管理强度，执行更严格的学业考核和毕业论文考核规定，不断提升研究规范性与专业性。四是发挥优势，突出特色，继续推进研究生在深度参与应用决策研究基础上的理论创新，持续提升研究生的社会调查能力与科研能力。</w:t>
      </w:r>
    </w:p>
    <w:sectPr>
      <w:footerReference r:id="rId11" w:type="default"/>
      <w:footnotePr>
        <w:numFmt w:val="decimalEnclosedCircleChinese"/>
        <w:numRestart w:val="eachPage"/>
      </w:footnotePr>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宋体-GB2312">
    <w:altName w:val="宋体"/>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jc w:val="center"/>
    </w:pPr>
  </w:p>
  <w:p>
    <w:pPr>
      <w:tabs>
        <w:tab w:val="center" w:pos="4153"/>
        <w:tab w:val="right" w:pos="8306"/>
      </w:tabs>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96850"/>
              <wp:effectExtent l="0" t="0" r="0" b="0"/>
              <wp:wrapNone/>
              <wp:docPr id="1210366469"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96850"/>
                      </a:xfrm>
                      <a:prstGeom prst="rect">
                        <a:avLst/>
                      </a:prstGeom>
                      <a:noFill/>
                      <a:ln>
                        <a:noFill/>
                      </a:ln>
                    </wps:spPr>
                    <wps:txbx>
                      <w:txbxContent>
                        <w:p>
                          <w:pPr>
                            <w:pStyle w:val="6"/>
                            <w:ind w:firstLine="360"/>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5.5pt;width:22.55pt;mso-position-horizontal:center;mso-position-horizontal-relative:margin;mso-wrap-style:none;z-index:251659264;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SMWcfRAAAAAwEAAA8AAAAAAAAAAQAgAAAA&#10;IgAAAGRycy9kb3ducmV2LnhtbFBLAQIUABQAAAAIAIdO4kASf//SEgIAAAsEAAAOAAAAAAAAAAEA&#10;IAAAACABAABkcnMvZTJvRG9jLnhtbFBLBQYAAAAABgAGAFkBAACkBQAAAAA=&#10;">
              <v:fill on="f" focussize="0,0"/>
              <v:stroke on="f"/>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ind w:firstLine="480"/>
      </w:pPr>
      <w:r>
        <w:separator/>
      </w:r>
    </w:p>
  </w:footnote>
  <w:footnote w:type="continuationSeparator" w:id="5">
    <w:p>
      <w:pPr>
        <w:spacing w:line="360" w:lineRule="auto"/>
        <w:ind w:firstLine="480"/>
      </w:pPr>
      <w:r>
        <w:continuationSeparator/>
      </w:r>
    </w:p>
  </w:footnote>
  <w:footnote w:id="0">
    <w:p>
      <w:pPr>
        <w:pStyle w:val="9"/>
        <w:ind w:firstLine="360"/>
      </w:pPr>
      <w:r>
        <w:rPr>
          <w:rStyle w:val="15"/>
        </w:rPr>
        <w:footnoteRef/>
      </w:r>
      <w:r>
        <w:t xml:space="preserve"> </w:t>
      </w:r>
      <w:r>
        <w:rPr>
          <w:rFonts w:hint="eastAsia"/>
        </w:rPr>
        <w:t>2</w:t>
      </w:r>
      <w:r>
        <w:t>023</w:t>
      </w:r>
      <w:r>
        <w:rPr>
          <w:rFonts w:hint="eastAsia"/>
        </w:rPr>
        <w:t>年5月退休。</w:t>
      </w:r>
    </w:p>
  </w:footnote>
  <w:footnote w:id="1">
    <w:p>
      <w:pPr>
        <w:pStyle w:val="9"/>
        <w:ind w:firstLine="360"/>
      </w:pPr>
      <w:r>
        <w:rPr>
          <w:rStyle w:val="15"/>
        </w:rPr>
        <w:footnoteRef/>
      </w:r>
      <w:r>
        <w:t xml:space="preserve"> </w:t>
      </w:r>
      <w:r>
        <w:rPr>
          <w:rFonts w:hint="eastAsia"/>
        </w:rPr>
        <w:t>2</w:t>
      </w:r>
      <w:r>
        <w:t>023</w:t>
      </w:r>
      <w:r>
        <w:rPr>
          <w:rFonts w:hint="eastAsia"/>
        </w:rPr>
        <w:t>年2月退休。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yMGJjNjVjYTY4YTAzMDg5MGU5MTM5NDZjMjg3N2MifQ=="/>
  </w:docVars>
  <w:rsids>
    <w:rsidRoot w:val="00334F04"/>
    <w:rsid w:val="00003455"/>
    <w:rsid w:val="00016B12"/>
    <w:rsid w:val="00017157"/>
    <w:rsid w:val="00020C20"/>
    <w:rsid w:val="00022B37"/>
    <w:rsid w:val="0002720E"/>
    <w:rsid w:val="00045ECD"/>
    <w:rsid w:val="000566D8"/>
    <w:rsid w:val="00060490"/>
    <w:rsid w:val="00095AA9"/>
    <w:rsid w:val="0009699A"/>
    <w:rsid w:val="000A77E1"/>
    <w:rsid w:val="000C2788"/>
    <w:rsid w:val="000E7E05"/>
    <w:rsid w:val="000F1F54"/>
    <w:rsid w:val="0011196A"/>
    <w:rsid w:val="00123506"/>
    <w:rsid w:val="00136A55"/>
    <w:rsid w:val="001458C6"/>
    <w:rsid w:val="00180DD1"/>
    <w:rsid w:val="00183253"/>
    <w:rsid w:val="0018487A"/>
    <w:rsid w:val="001A2905"/>
    <w:rsid w:val="001A3649"/>
    <w:rsid w:val="001C545F"/>
    <w:rsid w:val="001E1AA3"/>
    <w:rsid w:val="001E6474"/>
    <w:rsid w:val="001F1F34"/>
    <w:rsid w:val="00207BE7"/>
    <w:rsid w:val="00215D03"/>
    <w:rsid w:val="0024002E"/>
    <w:rsid w:val="00252E4A"/>
    <w:rsid w:val="002B5576"/>
    <w:rsid w:val="002C6879"/>
    <w:rsid w:val="002E1B2F"/>
    <w:rsid w:val="002E20A2"/>
    <w:rsid w:val="002E48F8"/>
    <w:rsid w:val="003019E0"/>
    <w:rsid w:val="0032104B"/>
    <w:rsid w:val="00321DA1"/>
    <w:rsid w:val="00333D96"/>
    <w:rsid w:val="00333E94"/>
    <w:rsid w:val="00334F04"/>
    <w:rsid w:val="0034338A"/>
    <w:rsid w:val="0035262B"/>
    <w:rsid w:val="00361F65"/>
    <w:rsid w:val="00362200"/>
    <w:rsid w:val="00364F57"/>
    <w:rsid w:val="003834DC"/>
    <w:rsid w:val="00384DE9"/>
    <w:rsid w:val="003A4209"/>
    <w:rsid w:val="003B1049"/>
    <w:rsid w:val="003B5B2B"/>
    <w:rsid w:val="003C3BC1"/>
    <w:rsid w:val="003D131C"/>
    <w:rsid w:val="003E545C"/>
    <w:rsid w:val="003E739D"/>
    <w:rsid w:val="0042545E"/>
    <w:rsid w:val="00434206"/>
    <w:rsid w:val="00457821"/>
    <w:rsid w:val="00483E5A"/>
    <w:rsid w:val="004B50B6"/>
    <w:rsid w:val="004C17E4"/>
    <w:rsid w:val="004C21F3"/>
    <w:rsid w:val="004D3EDF"/>
    <w:rsid w:val="004E4242"/>
    <w:rsid w:val="004E5EBF"/>
    <w:rsid w:val="004F4043"/>
    <w:rsid w:val="005002BE"/>
    <w:rsid w:val="005013B3"/>
    <w:rsid w:val="00554D40"/>
    <w:rsid w:val="00572C2B"/>
    <w:rsid w:val="005B4FDB"/>
    <w:rsid w:val="005C03EA"/>
    <w:rsid w:val="005C3DFD"/>
    <w:rsid w:val="00600230"/>
    <w:rsid w:val="00610EA0"/>
    <w:rsid w:val="00643240"/>
    <w:rsid w:val="0066608D"/>
    <w:rsid w:val="00682021"/>
    <w:rsid w:val="0068569D"/>
    <w:rsid w:val="0068699E"/>
    <w:rsid w:val="006D243A"/>
    <w:rsid w:val="006E6219"/>
    <w:rsid w:val="006F5342"/>
    <w:rsid w:val="0071264F"/>
    <w:rsid w:val="00726BE3"/>
    <w:rsid w:val="0074444A"/>
    <w:rsid w:val="007474F5"/>
    <w:rsid w:val="00766948"/>
    <w:rsid w:val="00776020"/>
    <w:rsid w:val="00787F61"/>
    <w:rsid w:val="007B65D3"/>
    <w:rsid w:val="007D5AD9"/>
    <w:rsid w:val="007D6BF5"/>
    <w:rsid w:val="007D7A6E"/>
    <w:rsid w:val="007E410F"/>
    <w:rsid w:val="007F0FAE"/>
    <w:rsid w:val="00820597"/>
    <w:rsid w:val="00823872"/>
    <w:rsid w:val="00830DCA"/>
    <w:rsid w:val="008717B4"/>
    <w:rsid w:val="008721E6"/>
    <w:rsid w:val="00875F23"/>
    <w:rsid w:val="00896ED5"/>
    <w:rsid w:val="008B3405"/>
    <w:rsid w:val="008C0DA9"/>
    <w:rsid w:val="008C5696"/>
    <w:rsid w:val="008D2953"/>
    <w:rsid w:val="008E71B9"/>
    <w:rsid w:val="008F0564"/>
    <w:rsid w:val="00911731"/>
    <w:rsid w:val="00916E47"/>
    <w:rsid w:val="00926B74"/>
    <w:rsid w:val="00962E5A"/>
    <w:rsid w:val="0096527B"/>
    <w:rsid w:val="00967B44"/>
    <w:rsid w:val="00985826"/>
    <w:rsid w:val="009B22E7"/>
    <w:rsid w:val="009B37CA"/>
    <w:rsid w:val="009C037D"/>
    <w:rsid w:val="009C7238"/>
    <w:rsid w:val="009D70F8"/>
    <w:rsid w:val="009E456B"/>
    <w:rsid w:val="009F699F"/>
    <w:rsid w:val="00A35F04"/>
    <w:rsid w:val="00A412DE"/>
    <w:rsid w:val="00A70E47"/>
    <w:rsid w:val="00A72A23"/>
    <w:rsid w:val="00A87849"/>
    <w:rsid w:val="00AA5CF4"/>
    <w:rsid w:val="00AA6962"/>
    <w:rsid w:val="00AB5742"/>
    <w:rsid w:val="00AC0215"/>
    <w:rsid w:val="00AF2B9F"/>
    <w:rsid w:val="00B02F71"/>
    <w:rsid w:val="00B164AF"/>
    <w:rsid w:val="00B33050"/>
    <w:rsid w:val="00B4205E"/>
    <w:rsid w:val="00B55CAF"/>
    <w:rsid w:val="00B60C22"/>
    <w:rsid w:val="00B61358"/>
    <w:rsid w:val="00B620C1"/>
    <w:rsid w:val="00B625EB"/>
    <w:rsid w:val="00B65DFE"/>
    <w:rsid w:val="00B71FEA"/>
    <w:rsid w:val="00BA31C2"/>
    <w:rsid w:val="00BB36DF"/>
    <w:rsid w:val="00BD1503"/>
    <w:rsid w:val="00BD15D9"/>
    <w:rsid w:val="00BD460B"/>
    <w:rsid w:val="00BF3F3F"/>
    <w:rsid w:val="00C25CFA"/>
    <w:rsid w:val="00C35829"/>
    <w:rsid w:val="00C42A07"/>
    <w:rsid w:val="00C439F6"/>
    <w:rsid w:val="00C44831"/>
    <w:rsid w:val="00C55DA4"/>
    <w:rsid w:val="00C57C8E"/>
    <w:rsid w:val="00C726D8"/>
    <w:rsid w:val="00C727E0"/>
    <w:rsid w:val="00C74E30"/>
    <w:rsid w:val="00C76B1F"/>
    <w:rsid w:val="00C81E61"/>
    <w:rsid w:val="00CA2B2D"/>
    <w:rsid w:val="00CD02D9"/>
    <w:rsid w:val="00CE26D1"/>
    <w:rsid w:val="00CE7F3E"/>
    <w:rsid w:val="00D135E0"/>
    <w:rsid w:val="00D17B56"/>
    <w:rsid w:val="00D277AA"/>
    <w:rsid w:val="00D41D7A"/>
    <w:rsid w:val="00D43EBC"/>
    <w:rsid w:val="00D5216D"/>
    <w:rsid w:val="00D55289"/>
    <w:rsid w:val="00D66A57"/>
    <w:rsid w:val="00D739AE"/>
    <w:rsid w:val="00D87006"/>
    <w:rsid w:val="00D87D51"/>
    <w:rsid w:val="00DB1095"/>
    <w:rsid w:val="00DD5210"/>
    <w:rsid w:val="00DE6050"/>
    <w:rsid w:val="00DF2C19"/>
    <w:rsid w:val="00DF6D49"/>
    <w:rsid w:val="00E0006C"/>
    <w:rsid w:val="00E0683B"/>
    <w:rsid w:val="00E0750B"/>
    <w:rsid w:val="00E25A38"/>
    <w:rsid w:val="00E35D8F"/>
    <w:rsid w:val="00E740C4"/>
    <w:rsid w:val="00E80492"/>
    <w:rsid w:val="00E910EF"/>
    <w:rsid w:val="00EF49F7"/>
    <w:rsid w:val="00F11CE3"/>
    <w:rsid w:val="00F133B7"/>
    <w:rsid w:val="00F24E89"/>
    <w:rsid w:val="00F336AA"/>
    <w:rsid w:val="00F4089A"/>
    <w:rsid w:val="00F44F35"/>
    <w:rsid w:val="00F55376"/>
    <w:rsid w:val="00F86460"/>
    <w:rsid w:val="00FB6B50"/>
    <w:rsid w:val="00FB79F9"/>
    <w:rsid w:val="00FD398C"/>
    <w:rsid w:val="00FE50F7"/>
    <w:rsid w:val="00FF0DCA"/>
    <w:rsid w:val="00FF1438"/>
    <w:rsid w:val="19ED0A9E"/>
    <w:rsid w:val="1FBD6D39"/>
    <w:rsid w:val="21E25FD3"/>
    <w:rsid w:val="2D52529F"/>
    <w:rsid w:val="380D1AD8"/>
    <w:rsid w:val="52045C59"/>
    <w:rsid w:val="52D3663E"/>
    <w:rsid w:val="6233698D"/>
    <w:rsid w:val="6FD9D1F1"/>
    <w:rsid w:val="70116D8E"/>
    <w:rsid w:val="EFDBD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宋体" w:cs="Times New Roman"/>
      <w:kern w:val="2"/>
      <w:sz w:val="24"/>
      <w:szCs w:val="22"/>
      <w:lang w:val="en-US" w:eastAsia="zh-CN" w:bidi="ar-SA"/>
    </w:rPr>
  </w:style>
  <w:style w:type="paragraph" w:styleId="3">
    <w:name w:val="heading 1"/>
    <w:next w:val="1"/>
    <w:link w:val="18"/>
    <w:qFormat/>
    <w:uiPriority w:val="9"/>
    <w:pPr>
      <w:keepNext/>
      <w:keepLines/>
      <w:spacing w:line="360" w:lineRule="auto"/>
      <w:outlineLvl w:val="0"/>
    </w:pPr>
    <w:rPr>
      <w:rFonts w:ascii="Arial" w:hAnsi="Arial" w:eastAsia="黑体" w:cs="Times New Roman"/>
      <w:b/>
      <w:bCs/>
      <w:kern w:val="44"/>
      <w:sz w:val="36"/>
      <w:szCs w:val="44"/>
      <w:lang w:val="en-US" w:eastAsia="zh-CN" w:bidi="ar-SA"/>
    </w:rPr>
  </w:style>
  <w:style w:type="paragraph" w:styleId="4">
    <w:name w:val="heading 2"/>
    <w:next w:val="1"/>
    <w:link w:val="19"/>
    <w:qFormat/>
    <w:uiPriority w:val="9"/>
    <w:pPr>
      <w:keepNext/>
      <w:keepLines/>
      <w:spacing w:line="360" w:lineRule="auto"/>
      <w:ind w:firstLine="562" w:firstLineChars="200"/>
      <w:outlineLvl w:val="1"/>
      <w:pPrChange w:id="0" w:author="广平 曹" w:date="2024-02-22T17:47:00Z">
        <w:pPr>
          <w:keepNext/>
          <w:keepLines/>
          <w:spacing w:line="360" w:lineRule="auto"/>
          <w:outlineLvl w:val="1"/>
        </w:pPr>
      </w:pPrChange>
    </w:pPr>
    <w:rPr>
      <w:rFonts w:ascii="Cambria" w:hAnsi="Cambria" w:eastAsia="黑体" w:cs="Times New Roman"/>
      <w:b/>
      <w:bCs/>
      <w:sz w:val="30"/>
      <w:szCs w:val="32"/>
      <w:lang w:val="en-US" w:eastAsia="zh-CN" w:bidi="ar-SA"/>
      <w:rPrChange w:id="1" w:author="广平 曹" w:date="2024-02-22T17:47:00Z">
        <w:rPr>
          <w:rFonts w:ascii="Cambria" w:hAnsi="Cambria" w:eastAsia="黑体"/>
          <w:b/>
          <w:bCs/>
          <w:sz w:val="30"/>
          <w:szCs w:val="32"/>
          <w:lang w:val="en-US" w:eastAsia="zh-CN" w:bidi="ar-SA"/>
        </w:rPr>
      </w:rPrChange>
    </w:rPr>
  </w:style>
  <w:style w:type="paragraph" w:styleId="5">
    <w:name w:val="heading 4"/>
    <w:basedOn w:val="1"/>
    <w:next w:val="1"/>
    <w:link w:val="20"/>
    <w:qFormat/>
    <w:uiPriority w:val="9"/>
    <w:pPr>
      <w:keepNext/>
      <w:keepLines/>
      <w:spacing w:line="360" w:lineRule="auto"/>
      <w:jc w:val="center"/>
      <w:outlineLvl w:val="3"/>
    </w:pPr>
    <w:rPr>
      <w:rFonts w:ascii="Cambria" w:hAnsi="Cambria" w:eastAsia="宋体" w:cs="Times New Roman"/>
      <w:bCs/>
      <w:sz w:val="21"/>
      <w:szCs w:val="28"/>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0"/>
    <w:pP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footnote text"/>
    <w:basedOn w:val="1"/>
    <w:link w:val="26"/>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footnote reference"/>
    <w:basedOn w:val="13"/>
    <w:semiHidden/>
    <w:unhideWhenUsed/>
    <w:qFormat/>
    <w:uiPriority w:val="99"/>
    <w:rPr>
      <w:vertAlign w:val="superscript"/>
    </w:rPr>
  </w:style>
  <w:style w:type="character" w:customStyle="1" w:styleId="16">
    <w:name w:val="页眉 字符"/>
    <w:basedOn w:val="13"/>
    <w:link w:val="7"/>
    <w:qFormat/>
    <w:uiPriority w:val="99"/>
    <w:rPr>
      <w:sz w:val="18"/>
      <w:szCs w:val="18"/>
    </w:rPr>
  </w:style>
  <w:style w:type="character" w:customStyle="1" w:styleId="17">
    <w:name w:val="页脚 字符"/>
    <w:basedOn w:val="13"/>
    <w:link w:val="6"/>
    <w:qFormat/>
    <w:uiPriority w:val="99"/>
    <w:rPr>
      <w:sz w:val="18"/>
      <w:szCs w:val="18"/>
    </w:rPr>
  </w:style>
  <w:style w:type="character" w:customStyle="1" w:styleId="18">
    <w:name w:val="标题 1 字符"/>
    <w:basedOn w:val="13"/>
    <w:link w:val="3"/>
    <w:qFormat/>
    <w:uiPriority w:val="9"/>
    <w:rPr>
      <w:rFonts w:ascii="Arial" w:hAnsi="Arial" w:eastAsia="黑体" w:cs="Times New Roman"/>
      <w:b/>
      <w:bCs/>
      <w:kern w:val="44"/>
      <w:sz w:val="36"/>
      <w:szCs w:val="44"/>
    </w:rPr>
  </w:style>
  <w:style w:type="character" w:customStyle="1" w:styleId="19">
    <w:name w:val="标题 2 字符"/>
    <w:basedOn w:val="13"/>
    <w:link w:val="4"/>
    <w:qFormat/>
    <w:uiPriority w:val="9"/>
    <w:rPr>
      <w:rFonts w:ascii="Cambria" w:hAnsi="Cambria" w:eastAsia="黑体" w:cs="Times New Roman"/>
      <w:b/>
      <w:bCs/>
      <w:sz w:val="30"/>
      <w:szCs w:val="32"/>
    </w:rPr>
  </w:style>
  <w:style w:type="character" w:customStyle="1" w:styleId="20">
    <w:name w:val="标题 4 字符"/>
    <w:basedOn w:val="13"/>
    <w:link w:val="5"/>
    <w:qFormat/>
    <w:uiPriority w:val="9"/>
    <w:rPr>
      <w:rFonts w:ascii="Cambria" w:hAnsi="Cambria" w:eastAsia="宋体" w:cs="Times New Roman"/>
      <w:bCs/>
      <w:kern w:val="0"/>
      <w:szCs w:val="28"/>
    </w:rPr>
  </w:style>
  <w:style w:type="paragraph" w:customStyle="1" w:styleId="21">
    <w:name w:val="Default"/>
    <w:autoRedefine/>
    <w:qFormat/>
    <w:uiPriority w:val="0"/>
    <w:pPr>
      <w:widowControl w:val="0"/>
      <w:autoSpaceDE w:val="0"/>
      <w:autoSpaceDN w:val="0"/>
      <w:adjustRightInd w:val="0"/>
      <w:spacing w:line="560" w:lineRule="exact"/>
      <w:jc w:val="both"/>
    </w:pPr>
    <w:rPr>
      <w:rFonts w:ascii="宋体" w:hAnsi="Calibri" w:eastAsia="宋体" w:cs="宋体"/>
      <w:color w:val="000000"/>
      <w:sz w:val="24"/>
      <w:szCs w:val="24"/>
      <w:lang w:val="en-US" w:eastAsia="zh-CN" w:bidi="ar-SA"/>
    </w:rPr>
  </w:style>
  <w:style w:type="paragraph" w:customStyle="1" w:styleId="22">
    <w:name w:val="图表"/>
    <w:autoRedefine/>
    <w:qFormat/>
    <w:uiPriority w:val="0"/>
    <w:pPr>
      <w:spacing w:line="480" w:lineRule="auto"/>
      <w:jc w:val="center"/>
    </w:pPr>
    <w:rPr>
      <w:rFonts w:ascii="Times New Roman" w:hAnsi="Times New Roman" w:eastAsia="宋体" w:cs="Times New Roman"/>
      <w:sz w:val="21"/>
      <w:szCs w:val="24"/>
      <w:lang w:val="en-US" w:eastAsia="zh-CN" w:bidi="ar-SA"/>
    </w:rPr>
  </w:style>
  <w:style w:type="paragraph" w:customStyle="1" w:styleId="23">
    <w:name w:val="TOC 标题1"/>
    <w:basedOn w:val="3"/>
    <w:next w:val="1"/>
    <w:autoRedefine/>
    <w:unhideWhenUsed/>
    <w:qFormat/>
    <w:uiPriority w:val="39"/>
    <w:pPr>
      <w:spacing w:before="24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24">
    <w:name w:val="网格型1"/>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网格型2"/>
    <w:basedOn w:val="1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26">
    <w:name w:val="脚注文本 字符"/>
    <w:basedOn w:val="13"/>
    <w:link w:val="9"/>
    <w:semiHidden/>
    <w:qFormat/>
    <w:uiPriority w:val="99"/>
    <w:rPr>
      <w:rFonts w:ascii="Times New Roman" w:hAnsi="Times New Roman" w:eastAsia="宋体" w:cs="Times New Roman"/>
      <w:sz w:val="18"/>
      <w:szCs w:val="18"/>
    </w:rPr>
  </w:style>
  <w:style w:type="paragraph" w:customStyle="1" w:styleId="27">
    <w:name w:val="修订1"/>
    <w:hidden/>
    <w:unhideWhenUsed/>
    <w:qFormat/>
    <w:uiPriority w:val="99"/>
    <w:rPr>
      <w:rFonts w:ascii="Times New Roman" w:hAnsi="Times New Roman" w:eastAsia="宋体" w:cs="Times New Roman"/>
      <w:kern w:val="2"/>
      <w:sz w:val="24"/>
      <w:szCs w:val="22"/>
      <w:lang w:val="en-US" w:eastAsia="zh-CN" w:bidi="ar-SA"/>
    </w:rPr>
  </w:style>
  <w:style w:type="paragraph" w:customStyle="1" w:styleId="28">
    <w:name w:val="Revision"/>
    <w:hidden/>
    <w:unhideWhenUsed/>
    <w:qFormat/>
    <w:uiPriority w:val="99"/>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2514</Words>
  <Characters>14331</Characters>
  <Lines>119</Lines>
  <Paragraphs>33</Paragraphs>
  <TotalTime>5</TotalTime>
  <ScaleCrop>false</ScaleCrop>
  <LinksUpToDate>false</LinksUpToDate>
  <CharactersWithSpaces>16812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2024-02-17T07:07:00Z</dcterms:created>
  <dc:creator>广平 曹</dc:creator>
  <cp:lastModifiedBy>张凌</cp:lastModifiedBy>
  <dcterms:modified xsi:type="dcterms:W3CDTF">2024-03-22T07:35:36Z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73C096AB1C6B4A00A2E2C439D2458D5D_13</vt:lpwstr>
  </property>
</Properties>
</file>