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jc w:val="center"/>
        <w:rPr>
          <w:rFonts w:hint="eastAsia" w:eastAsia="宋体"/>
          <w:sz w:val="44"/>
          <w:szCs w:val="44"/>
          <w:lang w:val="en-US" w:eastAsia="zh-CN"/>
        </w:rPr>
      </w:pPr>
    </w:p>
    <w:p>
      <w:pPr>
        <w:ind w:firstLine="880"/>
        <w:jc w:val="center"/>
        <w:rPr>
          <w:sz w:val="44"/>
          <w:szCs w:val="44"/>
        </w:rPr>
      </w:pPr>
    </w:p>
    <w:p>
      <w:pPr>
        <w:ind w:firstLine="880"/>
        <w:jc w:val="center"/>
        <w:rPr>
          <w:sz w:val="44"/>
          <w:szCs w:val="44"/>
        </w:rPr>
      </w:pPr>
    </w:p>
    <w:p>
      <w:pPr>
        <w:ind w:left="0" w:leftChars="0" w:firstLine="0" w:firstLineChars="0"/>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广东省社会科学院应用经济学</w:t>
      </w:r>
    </w:p>
    <w:p>
      <w:pPr>
        <w:ind w:left="0" w:leftChars="0" w:firstLine="0" w:firstLineChars="0"/>
        <w:jc w:val="center"/>
        <w:outlineLvl w:val="9"/>
        <w:rPr>
          <w:rFonts w:hint="eastAsia" w:ascii="方正小标宋简体" w:hAnsi="方正小标宋简体" w:eastAsia="方正小标宋简体" w:cs="方正小标宋简体"/>
          <w:sz w:val="52"/>
          <w:szCs w:val="52"/>
        </w:rPr>
      </w:pPr>
      <w:bookmarkStart w:id="0" w:name="_Toc26479"/>
      <w:bookmarkStart w:id="1" w:name="_Toc16033"/>
      <w:r>
        <w:rPr>
          <w:rFonts w:hint="eastAsia" w:ascii="方正小标宋简体" w:hAnsi="方正小标宋简体" w:eastAsia="方正小标宋简体" w:cs="方正小标宋简体"/>
          <w:sz w:val="52"/>
          <w:szCs w:val="52"/>
        </w:rPr>
        <w:t>一级学科硕士学位授权点202</w:t>
      </w:r>
      <w:r>
        <w:rPr>
          <w:rFonts w:hint="eastAsia" w:ascii="方正小标宋简体" w:hAnsi="方正小标宋简体" w:eastAsia="方正小标宋简体" w:cs="方正小标宋简体"/>
          <w:sz w:val="52"/>
          <w:szCs w:val="52"/>
          <w:lang w:val="en-US" w:eastAsia="zh-CN"/>
        </w:rPr>
        <w:t>3</w:t>
      </w:r>
      <w:r>
        <w:rPr>
          <w:rFonts w:hint="eastAsia" w:ascii="方正小标宋简体" w:hAnsi="方正小标宋简体" w:eastAsia="方正小标宋简体" w:cs="方正小标宋简体"/>
          <w:sz w:val="52"/>
          <w:szCs w:val="52"/>
        </w:rPr>
        <w:t>年度</w:t>
      </w:r>
      <w:bookmarkEnd w:id="0"/>
      <w:bookmarkEnd w:id="1"/>
    </w:p>
    <w:p>
      <w:pPr>
        <w:ind w:left="0" w:leftChars="0" w:firstLine="0" w:firstLineChars="0"/>
        <w:jc w:val="center"/>
        <w:rPr>
          <w:rFonts w:hint="eastAsia" w:ascii="方正小标宋_GBK" w:hAnsi="方正小标宋_GBK" w:eastAsia="方正小标宋_GBK" w:cs="方正小标宋_GBK"/>
          <w:sz w:val="52"/>
          <w:szCs w:val="52"/>
        </w:rPr>
      </w:pPr>
      <w:r>
        <w:rPr>
          <w:rFonts w:hint="eastAsia" w:ascii="方正小标宋简体" w:hAnsi="方正小标宋简体" w:eastAsia="方正小标宋简体" w:cs="方正小标宋简体"/>
          <w:sz w:val="52"/>
          <w:szCs w:val="52"/>
        </w:rPr>
        <w:t>建设报告</w:t>
      </w:r>
    </w:p>
    <w:p>
      <w:pPr>
        <w:ind w:firstLine="880"/>
        <w:jc w:val="center"/>
        <w:rPr>
          <w:rFonts w:ascii="楷体" w:hAnsi="楷体" w:eastAsia="楷体" w:cs="楷体"/>
          <w:sz w:val="44"/>
          <w:szCs w:val="44"/>
        </w:rPr>
      </w:pPr>
    </w:p>
    <w:p>
      <w:pPr>
        <w:ind w:firstLine="880"/>
        <w:jc w:val="center"/>
        <w:rPr>
          <w:rFonts w:ascii="楷体" w:hAnsi="楷体" w:eastAsia="楷体" w:cs="楷体"/>
          <w:sz w:val="44"/>
          <w:szCs w:val="44"/>
        </w:rPr>
      </w:pPr>
    </w:p>
    <w:p>
      <w:pPr>
        <w:ind w:firstLine="880"/>
        <w:jc w:val="center"/>
        <w:rPr>
          <w:rFonts w:ascii="楷体" w:hAnsi="楷体" w:eastAsia="楷体" w:cs="楷体"/>
          <w:sz w:val="44"/>
          <w:szCs w:val="44"/>
        </w:rPr>
      </w:pPr>
    </w:p>
    <w:p>
      <w:pPr>
        <w:ind w:firstLine="880"/>
        <w:jc w:val="center"/>
        <w:rPr>
          <w:rFonts w:ascii="楷体" w:hAnsi="楷体" w:eastAsia="楷体" w:cs="楷体"/>
          <w:sz w:val="44"/>
          <w:szCs w:val="44"/>
        </w:rPr>
      </w:pPr>
    </w:p>
    <w:p>
      <w:pPr>
        <w:ind w:firstLine="880"/>
        <w:jc w:val="center"/>
        <w:rPr>
          <w:rFonts w:ascii="楷体" w:hAnsi="楷体" w:eastAsia="楷体" w:cs="楷体"/>
          <w:sz w:val="44"/>
          <w:szCs w:val="44"/>
        </w:rPr>
      </w:pPr>
    </w:p>
    <w:p>
      <w:pPr>
        <w:ind w:firstLine="880"/>
        <w:rPr>
          <w:rFonts w:ascii="楷体" w:hAnsi="楷体" w:eastAsia="楷体" w:cs="楷体"/>
          <w:sz w:val="44"/>
          <w:szCs w:val="44"/>
        </w:rPr>
      </w:pPr>
    </w:p>
    <w:p>
      <w:pPr>
        <w:ind w:firstLine="0" w:firstLineChars="0"/>
        <w:rPr>
          <w:rFonts w:ascii="楷体" w:hAnsi="楷体" w:eastAsia="楷体" w:cs="楷体"/>
          <w:sz w:val="44"/>
          <w:szCs w:val="44"/>
        </w:rPr>
      </w:pPr>
    </w:p>
    <w:p>
      <w:pPr>
        <w:ind w:firstLine="880"/>
        <w:jc w:val="center"/>
        <w:rPr>
          <w:rFonts w:ascii="楷体" w:hAnsi="楷体" w:eastAsia="楷体" w:cs="楷体"/>
          <w:sz w:val="44"/>
          <w:szCs w:val="44"/>
        </w:rPr>
      </w:pPr>
    </w:p>
    <w:p>
      <w:pPr>
        <w:ind w:firstLine="880"/>
        <w:jc w:val="center"/>
        <w:rPr>
          <w:rFonts w:ascii="楷体" w:hAnsi="楷体" w:eastAsia="楷体" w:cs="楷体"/>
          <w:sz w:val="44"/>
          <w:szCs w:val="44"/>
        </w:rPr>
      </w:pPr>
    </w:p>
    <w:p>
      <w:pPr>
        <w:ind w:firstLine="880"/>
        <w:jc w:val="center"/>
        <w:rPr>
          <w:rFonts w:ascii="楷体" w:hAnsi="楷体" w:eastAsia="楷体" w:cs="楷体"/>
          <w:sz w:val="44"/>
          <w:szCs w:val="44"/>
        </w:rPr>
      </w:pPr>
    </w:p>
    <w:p>
      <w:pPr>
        <w:ind w:firstLine="880"/>
        <w:jc w:val="center"/>
        <w:rPr>
          <w:rFonts w:ascii="楷体" w:hAnsi="楷体" w:eastAsia="楷体" w:cs="楷体"/>
          <w:sz w:val="44"/>
          <w:szCs w:val="44"/>
        </w:rPr>
      </w:pPr>
      <w:r>
        <w:rPr>
          <w:rFonts w:hint="eastAsia" w:ascii="楷体" w:hAnsi="楷体" w:eastAsia="楷体" w:cs="楷体"/>
          <w:sz w:val="44"/>
          <w:szCs w:val="44"/>
        </w:rPr>
        <w:t>广东省社会科学院</w:t>
      </w:r>
    </w:p>
    <w:p>
      <w:pPr>
        <w:spacing w:before="312" w:beforeLines="100"/>
        <w:ind w:firstLine="880"/>
        <w:jc w:val="center"/>
        <w:rPr>
          <w:rFonts w:ascii="楷体" w:hAnsi="楷体" w:eastAsia="楷体" w:cs="楷体"/>
          <w:sz w:val="44"/>
          <w:szCs w:val="44"/>
        </w:rPr>
      </w:pPr>
      <w:r>
        <w:rPr>
          <w:rFonts w:hint="eastAsia" w:ascii="楷体" w:hAnsi="楷体" w:eastAsia="楷体" w:cs="楷体"/>
          <w:sz w:val="44"/>
          <w:szCs w:val="44"/>
        </w:rPr>
        <w:t>202</w:t>
      </w:r>
      <w:r>
        <w:rPr>
          <w:rFonts w:hint="eastAsia" w:ascii="楷体" w:hAnsi="楷体" w:eastAsia="楷体" w:cs="楷体"/>
          <w:sz w:val="44"/>
          <w:szCs w:val="44"/>
          <w:lang w:val="en-US" w:eastAsia="zh-CN"/>
        </w:rPr>
        <w:t>4</w:t>
      </w:r>
      <w:r>
        <w:rPr>
          <w:rFonts w:hint="eastAsia" w:ascii="楷体" w:hAnsi="楷体" w:eastAsia="楷体" w:cs="楷体"/>
          <w:sz w:val="44"/>
          <w:szCs w:val="44"/>
        </w:rPr>
        <w:t>年</w:t>
      </w:r>
      <w:r>
        <w:rPr>
          <w:rFonts w:hint="eastAsia" w:ascii="楷体" w:hAnsi="楷体" w:eastAsia="楷体" w:cs="楷体"/>
          <w:sz w:val="44"/>
          <w:szCs w:val="44"/>
          <w:lang w:val="en-US" w:eastAsia="zh-CN"/>
        </w:rPr>
        <w:t>3</w:t>
      </w:r>
      <w:r>
        <w:rPr>
          <w:rFonts w:hint="eastAsia" w:ascii="楷体" w:hAnsi="楷体" w:eastAsia="楷体" w:cs="楷体"/>
          <w:sz w:val="44"/>
          <w:szCs w:val="44"/>
        </w:rPr>
        <w:t>月</w:t>
      </w:r>
    </w:p>
    <w:p>
      <w:pPr>
        <w:spacing w:line="560" w:lineRule="exact"/>
        <w:rPr>
          <w:rFonts w:ascii="楷体" w:hAnsi="楷体" w:eastAsia="楷体" w:cs="楷体"/>
          <w:bCs/>
          <w:sz w:val="32"/>
          <w:szCs w:val="32"/>
          <w:lang w:val="zh-CN"/>
        </w:rPr>
      </w:pPr>
    </w:p>
    <w:p>
      <w:pPr>
        <w:spacing w:line="560" w:lineRule="exact"/>
        <w:ind w:left="0" w:leftChars="0" w:firstLine="0" w:firstLineChars="0"/>
        <w:rPr>
          <w:rFonts w:ascii="楷体" w:hAnsi="楷体" w:eastAsia="楷体" w:cs="楷体"/>
          <w:bCs/>
          <w:sz w:val="32"/>
          <w:szCs w:val="32"/>
          <w:lang w:val="zh-CN"/>
        </w:rPr>
      </w:pPr>
    </w:p>
    <w:p>
      <w:pPr>
        <w:pStyle w:val="3"/>
        <w:keepNext w:val="0"/>
        <w:keepLines w:val="0"/>
        <w:widowControl w:val="0"/>
        <w:jc w:val="center"/>
        <w:rPr>
          <w:rFonts w:hint="eastAsia"/>
          <w:color w:val="auto"/>
        </w:rPr>
      </w:pPr>
      <w:bookmarkStart w:id="2" w:name="_Toc27428"/>
      <w:bookmarkStart w:id="3" w:name="_Toc20140"/>
      <w:bookmarkStart w:id="4" w:name="_Toc31735"/>
      <w:bookmarkStart w:id="5" w:name="_Toc15337"/>
      <w:r>
        <w:rPr>
          <w:rFonts w:hint="eastAsia"/>
          <w:color w:val="auto"/>
        </w:rPr>
        <w:t>目</w:t>
      </w:r>
      <w:r>
        <w:rPr>
          <w:rFonts w:hint="eastAsia"/>
          <w:color w:val="auto"/>
          <w:lang w:val="en-US" w:eastAsia="zh-CN"/>
        </w:rPr>
        <w:t xml:space="preserve"> </w:t>
      </w:r>
      <w:r>
        <w:rPr>
          <w:rFonts w:hint="eastAsia"/>
          <w:color w:val="auto"/>
        </w:rPr>
        <w:t>录</w:t>
      </w:r>
      <w:bookmarkEnd w:id="2"/>
      <w:bookmarkEnd w:id="3"/>
      <w:bookmarkEnd w:id="4"/>
      <w:bookmarkEnd w:id="5"/>
    </w:p>
    <w:p>
      <w:pPr>
        <w:pStyle w:val="13"/>
        <w:tabs>
          <w:tab w:val="right" w:leader="dot" w:pos="8306"/>
        </w:tabs>
        <w:ind w:firstLine="0" w:firstLineChars="0"/>
      </w:pPr>
      <w:r>
        <w:rPr>
          <w:rFonts w:hint="eastAsia" w:ascii="宋体" w:hAnsi="宋体" w:eastAsia="宋体" w:cs="宋体"/>
          <w:bCs/>
          <w:sz w:val="28"/>
          <w:szCs w:val="28"/>
          <w:lang w:val="zh-CN"/>
        </w:rPr>
        <w:fldChar w:fldCharType="begin"/>
      </w:r>
      <w:r>
        <w:rPr>
          <w:rFonts w:hint="eastAsia" w:ascii="宋体" w:hAnsi="宋体" w:eastAsia="宋体" w:cs="宋体"/>
          <w:bCs/>
          <w:sz w:val="28"/>
          <w:szCs w:val="28"/>
          <w:lang w:val="zh-CN"/>
        </w:rPr>
        <w:instrText xml:space="preserve">TOC \o "1-2" \h \u </w:instrText>
      </w:r>
      <w:r>
        <w:rPr>
          <w:rFonts w:hint="eastAsia" w:ascii="宋体" w:hAnsi="宋体" w:eastAsia="宋体" w:cs="宋体"/>
          <w:bCs/>
          <w:sz w:val="28"/>
          <w:szCs w:val="28"/>
          <w:lang w:val="zh-CN"/>
        </w:rPr>
        <w:fldChar w:fldCharType="separate"/>
      </w:r>
      <w:r>
        <w:rPr>
          <w:rFonts w:hint="eastAsia" w:ascii="宋体" w:hAnsi="宋体" w:eastAsia="宋体" w:cs="宋体"/>
          <w:b/>
          <w:bCs/>
          <w:sz w:val="28"/>
          <w:szCs w:val="28"/>
          <w:lang w:val="zh-CN"/>
        </w:rPr>
        <w:fldChar w:fldCharType="begin"/>
      </w:r>
      <w:r>
        <w:rPr>
          <w:rFonts w:hint="eastAsia" w:ascii="宋体" w:hAnsi="宋体" w:eastAsia="宋体" w:cs="宋体"/>
          <w:b/>
          <w:bCs/>
          <w:sz w:val="28"/>
          <w:szCs w:val="28"/>
          <w:lang w:val="zh-CN"/>
        </w:rPr>
        <w:instrText xml:space="preserve"> HYPERLINK \l _Toc28785 </w:instrText>
      </w:r>
      <w:r>
        <w:rPr>
          <w:rFonts w:hint="eastAsia" w:ascii="宋体" w:hAnsi="宋体" w:eastAsia="宋体" w:cs="宋体"/>
          <w:b/>
          <w:bCs/>
          <w:sz w:val="28"/>
          <w:szCs w:val="28"/>
          <w:lang w:val="zh-CN"/>
        </w:rPr>
        <w:fldChar w:fldCharType="separate"/>
      </w:r>
      <w:r>
        <w:rPr>
          <w:rFonts w:hint="eastAsia" w:ascii="宋体" w:hAnsi="宋体" w:cs="宋体"/>
          <w:b/>
          <w:bCs/>
          <w:sz w:val="28"/>
          <w:szCs w:val="28"/>
          <w:lang w:val="zh-CN"/>
        </w:rPr>
        <w:t>一、学位授权点基本情况</w:t>
      </w:r>
      <w:r>
        <w:rPr>
          <w:rFonts w:hint="eastAsia" w:ascii="宋体" w:hAnsi="宋体" w:cs="宋体"/>
          <w:b/>
          <w:bCs/>
          <w:sz w:val="28"/>
          <w:szCs w:val="28"/>
          <w:lang w:val="zh-CN"/>
        </w:rPr>
        <w:tab/>
      </w:r>
      <w:r>
        <w:rPr>
          <w:rFonts w:hint="eastAsia" w:ascii="宋体" w:hAnsi="宋体" w:cs="宋体"/>
          <w:b/>
          <w:bCs/>
          <w:sz w:val="28"/>
          <w:szCs w:val="28"/>
          <w:lang w:val="zh-CN"/>
        </w:rPr>
        <w:fldChar w:fldCharType="begin"/>
      </w:r>
      <w:r>
        <w:rPr>
          <w:rFonts w:hint="eastAsia" w:ascii="宋体" w:hAnsi="宋体" w:cs="宋体"/>
          <w:b/>
          <w:bCs/>
          <w:sz w:val="28"/>
          <w:szCs w:val="28"/>
          <w:lang w:val="zh-CN"/>
        </w:rPr>
        <w:instrText xml:space="preserve"> PAGEREF _Toc28785 \h </w:instrText>
      </w:r>
      <w:r>
        <w:rPr>
          <w:rFonts w:hint="eastAsia" w:ascii="宋体" w:hAnsi="宋体" w:cs="宋体"/>
          <w:b/>
          <w:bCs/>
          <w:sz w:val="28"/>
          <w:szCs w:val="28"/>
          <w:lang w:val="zh-CN"/>
        </w:rPr>
        <w:fldChar w:fldCharType="separate"/>
      </w:r>
      <w:r>
        <w:rPr>
          <w:rFonts w:hint="eastAsia" w:ascii="宋体" w:hAnsi="宋体" w:cs="宋体"/>
          <w:b/>
          <w:bCs/>
          <w:sz w:val="28"/>
          <w:szCs w:val="28"/>
          <w:lang w:val="zh-CN"/>
        </w:rPr>
        <w:t>1</w:t>
      </w:r>
      <w:r>
        <w:rPr>
          <w:rFonts w:hint="eastAsia" w:ascii="宋体" w:hAnsi="宋体" w:cs="宋体"/>
          <w:b/>
          <w:bCs/>
          <w:sz w:val="28"/>
          <w:szCs w:val="28"/>
          <w:lang w:val="zh-CN"/>
        </w:rPr>
        <w:fldChar w:fldCharType="end"/>
      </w:r>
      <w:r>
        <w:rPr>
          <w:rFonts w:hint="eastAsia" w:ascii="宋体" w:hAnsi="宋体" w:eastAsia="宋体" w:cs="宋体"/>
          <w:b/>
          <w:bCs/>
          <w:sz w:val="28"/>
          <w:szCs w:val="28"/>
          <w:lang w:val="zh-CN"/>
        </w:rPr>
        <w:fldChar w:fldCharType="end"/>
      </w:r>
    </w:p>
    <w:p>
      <w:pPr>
        <w:pStyle w:val="14"/>
        <w:tabs>
          <w:tab w:val="right" w:leader="dot" w:pos="8306"/>
        </w:tabs>
        <w:ind w:firstLine="0" w:firstLineChars="0"/>
        <w:rPr>
          <w:rFonts w:hint="eastAsia" w:ascii="宋体" w:hAnsi="宋体" w:cs="宋体"/>
          <w:bCs/>
          <w:sz w:val="28"/>
          <w:szCs w:val="28"/>
          <w:lang w:val="zh-CN"/>
        </w:rPr>
      </w:pPr>
      <w:r>
        <w:rPr>
          <w:rFonts w:hint="eastAsia" w:ascii="宋体" w:hAnsi="宋体" w:eastAsia="宋体" w:cs="宋体"/>
          <w:bCs/>
          <w:sz w:val="28"/>
          <w:szCs w:val="28"/>
          <w:lang w:val="zh-CN"/>
        </w:rPr>
        <w:fldChar w:fldCharType="begin"/>
      </w:r>
      <w:r>
        <w:rPr>
          <w:rFonts w:hint="eastAsia" w:ascii="宋体" w:hAnsi="宋体" w:eastAsia="宋体" w:cs="宋体"/>
          <w:bCs/>
          <w:sz w:val="28"/>
          <w:szCs w:val="28"/>
          <w:lang w:val="zh-CN"/>
        </w:rPr>
        <w:instrText xml:space="preserve"> HYPERLINK \l _Toc19458 </w:instrText>
      </w:r>
      <w:r>
        <w:rPr>
          <w:rFonts w:hint="eastAsia" w:ascii="宋体" w:hAnsi="宋体" w:eastAsia="宋体" w:cs="宋体"/>
          <w:bCs/>
          <w:sz w:val="28"/>
          <w:szCs w:val="28"/>
          <w:lang w:val="zh-CN"/>
        </w:rPr>
        <w:fldChar w:fldCharType="separate"/>
      </w:r>
      <w:r>
        <w:rPr>
          <w:rFonts w:hint="eastAsia" w:ascii="宋体" w:hAnsi="宋体" w:cs="宋体"/>
          <w:bCs/>
          <w:sz w:val="28"/>
          <w:szCs w:val="28"/>
          <w:lang w:val="zh-CN"/>
        </w:rPr>
        <w:t>（一）发展沿革</w:t>
      </w:r>
      <w:r>
        <w:rPr>
          <w:rFonts w:hint="eastAsia" w:ascii="宋体" w:hAnsi="宋体" w:cs="宋体"/>
          <w:bCs/>
          <w:sz w:val="28"/>
          <w:szCs w:val="28"/>
          <w:lang w:val="zh-CN" w:eastAsia="zh-CN"/>
        </w:rPr>
        <w:t>和特色</w:t>
      </w:r>
      <w:r>
        <w:rPr>
          <w:rFonts w:hint="eastAsia" w:ascii="宋体" w:hAnsi="宋体" w:cs="宋体"/>
          <w:bCs/>
          <w:sz w:val="28"/>
          <w:szCs w:val="28"/>
          <w:lang w:val="zh-CN"/>
        </w:rPr>
        <w:tab/>
      </w:r>
      <w:r>
        <w:rPr>
          <w:rFonts w:hint="eastAsia" w:ascii="宋体" w:hAnsi="宋体" w:cs="宋体"/>
          <w:bCs/>
          <w:sz w:val="28"/>
          <w:szCs w:val="28"/>
          <w:lang w:val="zh-CN"/>
        </w:rPr>
        <w:fldChar w:fldCharType="begin"/>
      </w:r>
      <w:r>
        <w:rPr>
          <w:rFonts w:hint="eastAsia" w:ascii="宋体" w:hAnsi="宋体" w:cs="宋体"/>
          <w:bCs/>
          <w:sz w:val="28"/>
          <w:szCs w:val="28"/>
          <w:lang w:val="zh-CN"/>
        </w:rPr>
        <w:instrText xml:space="preserve"> PAGEREF _Toc19458 \h </w:instrText>
      </w:r>
      <w:r>
        <w:rPr>
          <w:rFonts w:hint="eastAsia" w:ascii="宋体" w:hAnsi="宋体" w:cs="宋体"/>
          <w:bCs/>
          <w:sz w:val="28"/>
          <w:szCs w:val="28"/>
          <w:lang w:val="zh-CN"/>
        </w:rPr>
        <w:fldChar w:fldCharType="separate"/>
      </w:r>
      <w:r>
        <w:rPr>
          <w:rFonts w:hint="eastAsia" w:ascii="宋体" w:hAnsi="宋体" w:cs="宋体"/>
          <w:bCs/>
          <w:sz w:val="28"/>
          <w:szCs w:val="28"/>
          <w:lang w:val="zh-CN"/>
        </w:rPr>
        <w:t>1</w:t>
      </w:r>
      <w:r>
        <w:rPr>
          <w:rFonts w:hint="eastAsia" w:ascii="宋体" w:hAnsi="宋体" w:cs="宋体"/>
          <w:bCs/>
          <w:sz w:val="28"/>
          <w:szCs w:val="28"/>
          <w:lang w:val="zh-CN"/>
        </w:rPr>
        <w:fldChar w:fldCharType="end"/>
      </w:r>
      <w:r>
        <w:rPr>
          <w:rFonts w:hint="eastAsia" w:ascii="宋体" w:hAnsi="宋体" w:eastAsia="宋体" w:cs="宋体"/>
          <w:bCs/>
          <w:sz w:val="28"/>
          <w:szCs w:val="28"/>
          <w:lang w:val="zh-CN"/>
        </w:rPr>
        <w:fldChar w:fldCharType="end"/>
      </w:r>
    </w:p>
    <w:p>
      <w:pPr>
        <w:pStyle w:val="14"/>
        <w:tabs>
          <w:tab w:val="right" w:leader="dot" w:pos="8306"/>
        </w:tabs>
        <w:ind w:firstLine="0" w:firstLineChars="0"/>
        <w:rPr>
          <w:rFonts w:hint="eastAsia" w:ascii="宋体" w:hAnsi="宋体" w:cs="宋体"/>
          <w:bCs/>
          <w:sz w:val="28"/>
          <w:szCs w:val="28"/>
          <w:lang w:val="zh-CN"/>
        </w:rPr>
      </w:pPr>
      <w:r>
        <w:rPr>
          <w:rFonts w:hint="eastAsia" w:ascii="宋体" w:hAnsi="宋体" w:eastAsia="宋体" w:cs="宋体"/>
          <w:bCs/>
          <w:sz w:val="28"/>
          <w:szCs w:val="28"/>
          <w:lang w:val="zh-CN"/>
        </w:rPr>
        <w:fldChar w:fldCharType="begin"/>
      </w:r>
      <w:r>
        <w:rPr>
          <w:rFonts w:hint="eastAsia" w:ascii="宋体" w:hAnsi="宋体" w:eastAsia="宋体" w:cs="宋体"/>
          <w:bCs/>
          <w:sz w:val="28"/>
          <w:szCs w:val="28"/>
          <w:lang w:val="zh-CN"/>
        </w:rPr>
        <w:instrText xml:space="preserve"> HYPERLINK \l _Toc21024 </w:instrText>
      </w:r>
      <w:r>
        <w:rPr>
          <w:rFonts w:hint="eastAsia" w:ascii="宋体" w:hAnsi="宋体" w:eastAsia="宋体" w:cs="宋体"/>
          <w:bCs/>
          <w:sz w:val="28"/>
          <w:szCs w:val="28"/>
          <w:lang w:val="zh-CN"/>
        </w:rPr>
        <w:fldChar w:fldCharType="separate"/>
      </w:r>
      <w:r>
        <w:rPr>
          <w:rFonts w:hint="eastAsia" w:ascii="宋体" w:hAnsi="宋体" w:cs="宋体"/>
          <w:bCs/>
          <w:sz w:val="28"/>
          <w:szCs w:val="28"/>
          <w:lang w:val="zh-CN"/>
        </w:rPr>
        <w:t>（二）研究生培养目标</w:t>
      </w:r>
      <w:r>
        <w:rPr>
          <w:rFonts w:hint="eastAsia" w:ascii="宋体" w:hAnsi="宋体" w:cs="宋体"/>
          <w:bCs/>
          <w:sz w:val="28"/>
          <w:szCs w:val="28"/>
          <w:lang w:val="zh-CN" w:eastAsia="zh-CN"/>
        </w:rPr>
        <w:t>和方向</w:t>
      </w:r>
      <w:r>
        <w:rPr>
          <w:rFonts w:hint="eastAsia" w:ascii="宋体" w:hAnsi="宋体" w:cs="宋体"/>
          <w:bCs/>
          <w:sz w:val="28"/>
          <w:szCs w:val="28"/>
          <w:lang w:val="zh-CN"/>
        </w:rPr>
        <w:tab/>
      </w:r>
      <w:r>
        <w:rPr>
          <w:rFonts w:hint="eastAsia" w:ascii="宋体" w:hAnsi="宋体" w:cs="宋体"/>
          <w:bCs/>
          <w:sz w:val="28"/>
          <w:szCs w:val="28"/>
          <w:lang w:val="zh-CN"/>
        </w:rPr>
        <w:fldChar w:fldCharType="begin"/>
      </w:r>
      <w:r>
        <w:rPr>
          <w:rFonts w:hint="eastAsia" w:ascii="宋体" w:hAnsi="宋体" w:cs="宋体"/>
          <w:bCs/>
          <w:sz w:val="28"/>
          <w:szCs w:val="28"/>
          <w:lang w:val="zh-CN"/>
        </w:rPr>
        <w:instrText xml:space="preserve"> PAGEREF _Toc21024 \h </w:instrText>
      </w:r>
      <w:r>
        <w:rPr>
          <w:rFonts w:hint="eastAsia" w:ascii="宋体" w:hAnsi="宋体" w:cs="宋体"/>
          <w:bCs/>
          <w:sz w:val="28"/>
          <w:szCs w:val="28"/>
          <w:lang w:val="zh-CN"/>
        </w:rPr>
        <w:fldChar w:fldCharType="separate"/>
      </w:r>
      <w:r>
        <w:rPr>
          <w:rFonts w:hint="eastAsia" w:ascii="宋体" w:hAnsi="宋体" w:cs="宋体"/>
          <w:bCs/>
          <w:sz w:val="28"/>
          <w:szCs w:val="28"/>
          <w:lang w:val="zh-CN"/>
        </w:rPr>
        <w:t>2</w:t>
      </w:r>
      <w:r>
        <w:rPr>
          <w:rFonts w:hint="eastAsia" w:ascii="宋体" w:hAnsi="宋体" w:cs="宋体"/>
          <w:bCs/>
          <w:sz w:val="28"/>
          <w:szCs w:val="28"/>
          <w:lang w:val="zh-CN"/>
        </w:rPr>
        <w:fldChar w:fldCharType="end"/>
      </w:r>
      <w:r>
        <w:rPr>
          <w:rFonts w:hint="eastAsia" w:ascii="宋体" w:hAnsi="宋体" w:eastAsia="宋体" w:cs="宋体"/>
          <w:bCs/>
          <w:sz w:val="28"/>
          <w:szCs w:val="28"/>
          <w:lang w:val="zh-CN"/>
        </w:rPr>
        <w:fldChar w:fldCharType="end"/>
      </w:r>
    </w:p>
    <w:p>
      <w:pPr>
        <w:pStyle w:val="14"/>
        <w:tabs>
          <w:tab w:val="right" w:leader="dot" w:pos="8306"/>
        </w:tabs>
        <w:ind w:firstLine="0" w:firstLineChars="0"/>
        <w:rPr>
          <w:rFonts w:hint="eastAsia" w:ascii="宋体" w:hAnsi="宋体" w:cs="宋体"/>
          <w:bCs/>
          <w:sz w:val="28"/>
          <w:szCs w:val="28"/>
          <w:lang w:val="zh-CN"/>
        </w:rPr>
      </w:pPr>
      <w:r>
        <w:rPr>
          <w:rFonts w:hint="eastAsia" w:ascii="宋体" w:hAnsi="宋体" w:eastAsia="宋体" w:cs="宋体"/>
          <w:bCs/>
          <w:sz w:val="28"/>
          <w:szCs w:val="28"/>
          <w:lang w:val="zh-CN"/>
        </w:rPr>
        <w:fldChar w:fldCharType="begin"/>
      </w:r>
      <w:r>
        <w:rPr>
          <w:rFonts w:hint="eastAsia" w:ascii="宋体" w:hAnsi="宋体" w:eastAsia="宋体" w:cs="宋体"/>
          <w:bCs/>
          <w:sz w:val="28"/>
          <w:szCs w:val="28"/>
          <w:lang w:val="zh-CN"/>
        </w:rPr>
        <w:instrText xml:space="preserve"> HYPERLINK \l _Toc8968 </w:instrText>
      </w:r>
      <w:r>
        <w:rPr>
          <w:rFonts w:hint="eastAsia" w:ascii="宋体" w:hAnsi="宋体" w:eastAsia="宋体" w:cs="宋体"/>
          <w:bCs/>
          <w:sz w:val="28"/>
          <w:szCs w:val="28"/>
          <w:lang w:val="zh-CN"/>
        </w:rPr>
        <w:fldChar w:fldCharType="separate"/>
      </w:r>
      <w:r>
        <w:rPr>
          <w:rFonts w:hint="eastAsia" w:ascii="宋体" w:hAnsi="宋体" w:cs="宋体"/>
          <w:bCs/>
          <w:sz w:val="28"/>
          <w:szCs w:val="28"/>
          <w:lang w:val="zh-CN"/>
        </w:rPr>
        <w:t>（三）</w:t>
      </w:r>
      <w:r>
        <w:rPr>
          <w:rFonts w:hint="eastAsia" w:ascii="宋体" w:hAnsi="宋体" w:cs="宋体"/>
          <w:bCs/>
          <w:sz w:val="28"/>
          <w:szCs w:val="28"/>
          <w:lang w:val="zh-CN" w:eastAsia="zh-CN"/>
        </w:rPr>
        <w:t>研究生规模及结构</w:t>
      </w:r>
      <w:r>
        <w:rPr>
          <w:rFonts w:hint="eastAsia" w:ascii="宋体" w:hAnsi="宋体" w:cs="宋体"/>
          <w:bCs/>
          <w:sz w:val="28"/>
          <w:szCs w:val="28"/>
          <w:lang w:val="zh-CN"/>
        </w:rPr>
        <w:tab/>
      </w:r>
      <w:r>
        <w:rPr>
          <w:rFonts w:hint="eastAsia" w:ascii="宋体" w:hAnsi="宋体" w:cs="宋体"/>
          <w:bCs/>
          <w:sz w:val="28"/>
          <w:szCs w:val="28"/>
          <w:lang w:val="zh-CN"/>
        </w:rPr>
        <w:fldChar w:fldCharType="begin"/>
      </w:r>
      <w:r>
        <w:rPr>
          <w:rFonts w:hint="eastAsia" w:ascii="宋体" w:hAnsi="宋体" w:cs="宋体"/>
          <w:bCs/>
          <w:sz w:val="28"/>
          <w:szCs w:val="28"/>
          <w:lang w:val="zh-CN"/>
        </w:rPr>
        <w:instrText xml:space="preserve"> PAGEREF _Toc8968 \h </w:instrText>
      </w:r>
      <w:r>
        <w:rPr>
          <w:rFonts w:hint="eastAsia" w:ascii="宋体" w:hAnsi="宋体" w:cs="宋体"/>
          <w:bCs/>
          <w:sz w:val="28"/>
          <w:szCs w:val="28"/>
          <w:lang w:val="zh-CN"/>
        </w:rPr>
        <w:fldChar w:fldCharType="separate"/>
      </w:r>
      <w:r>
        <w:rPr>
          <w:rFonts w:hint="eastAsia" w:ascii="宋体" w:hAnsi="宋体" w:cs="宋体"/>
          <w:bCs/>
          <w:sz w:val="28"/>
          <w:szCs w:val="28"/>
          <w:lang w:val="zh-CN"/>
        </w:rPr>
        <w:t>4</w:t>
      </w:r>
      <w:r>
        <w:rPr>
          <w:rFonts w:hint="eastAsia" w:ascii="宋体" w:hAnsi="宋体" w:cs="宋体"/>
          <w:bCs/>
          <w:sz w:val="28"/>
          <w:szCs w:val="28"/>
          <w:lang w:val="zh-CN"/>
        </w:rPr>
        <w:fldChar w:fldCharType="end"/>
      </w:r>
      <w:r>
        <w:rPr>
          <w:rFonts w:hint="eastAsia" w:ascii="宋体" w:hAnsi="宋体" w:eastAsia="宋体" w:cs="宋体"/>
          <w:bCs/>
          <w:sz w:val="28"/>
          <w:szCs w:val="28"/>
          <w:lang w:val="zh-CN"/>
        </w:rPr>
        <w:fldChar w:fldCharType="end"/>
      </w:r>
    </w:p>
    <w:p>
      <w:pPr>
        <w:pStyle w:val="14"/>
        <w:tabs>
          <w:tab w:val="right" w:leader="dot" w:pos="8306"/>
        </w:tabs>
        <w:ind w:firstLine="0" w:firstLineChars="0"/>
        <w:rPr>
          <w:rFonts w:hint="eastAsia" w:ascii="宋体" w:hAnsi="宋体" w:cs="宋体"/>
          <w:bCs/>
          <w:sz w:val="28"/>
          <w:szCs w:val="28"/>
          <w:lang w:val="zh-CN"/>
        </w:rPr>
      </w:pPr>
      <w:r>
        <w:rPr>
          <w:rFonts w:hint="eastAsia" w:ascii="宋体" w:hAnsi="宋体" w:eastAsia="宋体" w:cs="宋体"/>
          <w:bCs/>
          <w:sz w:val="28"/>
          <w:szCs w:val="28"/>
          <w:lang w:val="zh-CN"/>
        </w:rPr>
        <w:fldChar w:fldCharType="begin"/>
      </w:r>
      <w:r>
        <w:rPr>
          <w:rFonts w:hint="eastAsia" w:ascii="宋体" w:hAnsi="宋体" w:eastAsia="宋体" w:cs="宋体"/>
          <w:bCs/>
          <w:sz w:val="28"/>
          <w:szCs w:val="28"/>
          <w:lang w:val="zh-CN"/>
        </w:rPr>
        <w:instrText xml:space="preserve"> HYPERLINK \l _Toc15740 </w:instrText>
      </w:r>
      <w:r>
        <w:rPr>
          <w:rFonts w:hint="eastAsia" w:ascii="宋体" w:hAnsi="宋体" w:eastAsia="宋体" w:cs="宋体"/>
          <w:bCs/>
          <w:sz w:val="28"/>
          <w:szCs w:val="28"/>
          <w:lang w:val="zh-CN"/>
        </w:rPr>
        <w:fldChar w:fldCharType="separate"/>
      </w:r>
      <w:r>
        <w:rPr>
          <w:rFonts w:hint="eastAsia" w:ascii="宋体" w:hAnsi="宋体" w:cs="宋体"/>
          <w:bCs/>
          <w:sz w:val="28"/>
          <w:szCs w:val="28"/>
          <w:lang w:val="zh-CN"/>
        </w:rPr>
        <w:t>（四）</w:t>
      </w:r>
      <w:r>
        <w:rPr>
          <w:rFonts w:hint="eastAsia" w:ascii="宋体" w:hAnsi="宋体" w:cs="宋体"/>
          <w:bCs/>
          <w:sz w:val="28"/>
          <w:szCs w:val="28"/>
          <w:highlight w:val="none"/>
          <w:lang w:val="zh-CN" w:eastAsia="zh-CN"/>
        </w:rPr>
        <w:t>师资</w:t>
      </w:r>
      <w:r>
        <w:rPr>
          <w:rFonts w:hint="eastAsia" w:ascii="宋体" w:hAnsi="宋体" w:cs="宋体"/>
          <w:bCs/>
          <w:sz w:val="28"/>
          <w:szCs w:val="28"/>
          <w:highlight w:val="none"/>
          <w:lang w:val="zh-CN"/>
        </w:rPr>
        <w:t>队伍</w:t>
      </w:r>
      <w:r>
        <w:rPr>
          <w:rFonts w:hint="eastAsia" w:ascii="宋体" w:hAnsi="宋体" w:cs="宋体"/>
          <w:bCs/>
          <w:sz w:val="28"/>
          <w:szCs w:val="28"/>
          <w:lang w:val="zh-CN"/>
        </w:rPr>
        <w:tab/>
      </w:r>
      <w:r>
        <w:rPr>
          <w:rFonts w:hint="eastAsia" w:ascii="宋体" w:hAnsi="宋体" w:cs="宋体"/>
          <w:bCs/>
          <w:sz w:val="28"/>
          <w:szCs w:val="28"/>
          <w:lang w:val="zh-CN"/>
        </w:rPr>
        <w:fldChar w:fldCharType="begin"/>
      </w:r>
      <w:r>
        <w:rPr>
          <w:rFonts w:hint="eastAsia" w:ascii="宋体" w:hAnsi="宋体" w:cs="宋体"/>
          <w:bCs/>
          <w:sz w:val="28"/>
          <w:szCs w:val="28"/>
          <w:lang w:val="zh-CN"/>
        </w:rPr>
        <w:instrText xml:space="preserve"> PAGEREF _Toc15740 \h </w:instrText>
      </w:r>
      <w:r>
        <w:rPr>
          <w:rFonts w:hint="eastAsia" w:ascii="宋体" w:hAnsi="宋体" w:cs="宋体"/>
          <w:bCs/>
          <w:sz w:val="28"/>
          <w:szCs w:val="28"/>
          <w:lang w:val="zh-CN"/>
        </w:rPr>
        <w:fldChar w:fldCharType="separate"/>
      </w:r>
      <w:r>
        <w:rPr>
          <w:rFonts w:hint="eastAsia" w:ascii="宋体" w:hAnsi="宋体" w:cs="宋体"/>
          <w:bCs/>
          <w:sz w:val="28"/>
          <w:szCs w:val="28"/>
          <w:lang w:val="zh-CN"/>
        </w:rPr>
        <w:t>5</w:t>
      </w:r>
      <w:r>
        <w:rPr>
          <w:rFonts w:hint="eastAsia" w:ascii="宋体" w:hAnsi="宋体" w:cs="宋体"/>
          <w:bCs/>
          <w:sz w:val="28"/>
          <w:szCs w:val="28"/>
          <w:lang w:val="zh-CN"/>
        </w:rPr>
        <w:fldChar w:fldCharType="end"/>
      </w:r>
      <w:r>
        <w:rPr>
          <w:rFonts w:hint="eastAsia" w:ascii="宋体" w:hAnsi="宋体" w:eastAsia="宋体" w:cs="宋体"/>
          <w:bCs/>
          <w:sz w:val="28"/>
          <w:szCs w:val="28"/>
          <w:lang w:val="zh-CN"/>
        </w:rPr>
        <w:fldChar w:fldCharType="end"/>
      </w:r>
    </w:p>
    <w:p>
      <w:pPr>
        <w:pStyle w:val="14"/>
        <w:tabs>
          <w:tab w:val="right" w:leader="dot" w:pos="8306"/>
        </w:tabs>
        <w:ind w:firstLine="0" w:firstLineChars="0"/>
      </w:pPr>
      <w:r>
        <w:rPr>
          <w:rFonts w:hint="eastAsia" w:ascii="宋体" w:hAnsi="宋体" w:eastAsia="宋体" w:cs="宋体"/>
          <w:bCs/>
          <w:sz w:val="28"/>
          <w:szCs w:val="28"/>
          <w:lang w:val="zh-CN"/>
        </w:rPr>
        <w:fldChar w:fldCharType="begin"/>
      </w:r>
      <w:r>
        <w:rPr>
          <w:rFonts w:hint="eastAsia" w:ascii="宋体" w:hAnsi="宋体" w:eastAsia="宋体" w:cs="宋体"/>
          <w:bCs/>
          <w:sz w:val="28"/>
          <w:szCs w:val="28"/>
          <w:lang w:val="zh-CN"/>
        </w:rPr>
        <w:instrText xml:space="preserve"> HYPERLINK \l _Toc25033 </w:instrText>
      </w:r>
      <w:r>
        <w:rPr>
          <w:rFonts w:hint="eastAsia" w:ascii="宋体" w:hAnsi="宋体" w:eastAsia="宋体" w:cs="宋体"/>
          <w:bCs/>
          <w:sz w:val="28"/>
          <w:szCs w:val="28"/>
          <w:lang w:val="zh-CN"/>
        </w:rPr>
        <w:fldChar w:fldCharType="separate"/>
      </w:r>
      <w:r>
        <w:rPr>
          <w:rFonts w:hint="eastAsia" w:ascii="宋体" w:hAnsi="宋体" w:cs="宋体"/>
          <w:bCs/>
          <w:sz w:val="28"/>
          <w:szCs w:val="28"/>
          <w:lang w:val="zh-CN"/>
        </w:rPr>
        <w:t>（</w:t>
      </w:r>
      <w:r>
        <w:rPr>
          <w:rFonts w:hint="eastAsia" w:ascii="宋体" w:hAnsi="宋体" w:cs="宋体"/>
          <w:bCs/>
          <w:sz w:val="28"/>
          <w:szCs w:val="28"/>
          <w:lang w:val="zh-CN" w:eastAsia="zh-CN"/>
        </w:rPr>
        <w:t>五</w:t>
      </w:r>
      <w:r>
        <w:rPr>
          <w:rFonts w:hint="eastAsia" w:ascii="宋体" w:hAnsi="宋体" w:cs="宋体"/>
          <w:bCs/>
          <w:sz w:val="28"/>
          <w:szCs w:val="28"/>
          <w:lang w:val="zh-CN"/>
        </w:rPr>
        <w:t>）</w:t>
      </w:r>
      <w:r>
        <w:rPr>
          <w:rFonts w:hint="eastAsia" w:ascii="宋体" w:hAnsi="宋体" w:cs="宋体"/>
          <w:bCs/>
          <w:sz w:val="28"/>
          <w:szCs w:val="28"/>
          <w:highlight w:val="none"/>
          <w:lang w:val="zh-CN" w:eastAsia="zh-CN"/>
        </w:rPr>
        <w:t>科研支撑平台</w:t>
      </w:r>
      <w:r>
        <w:rPr>
          <w:rFonts w:hint="eastAsia" w:ascii="宋体" w:hAnsi="宋体" w:cs="宋体"/>
          <w:bCs/>
          <w:sz w:val="28"/>
          <w:szCs w:val="28"/>
          <w:lang w:val="zh-CN"/>
        </w:rPr>
        <w:tab/>
      </w:r>
      <w:r>
        <w:rPr>
          <w:rFonts w:hint="eastAsia" w:ascii="宋体" w:hAnsi="宋体" w:cs="宋体"/>
          <w:bCs/>
          <w:sz w:val="28"/>
          <w:szCs w:val="28"/>
          <w:lang w:val="zh-CN"/>
        </w:rPr>
        <w:fldChar w:fldCharType="begin"/>
      </w:r>
      <w:r>
        <w:rPr>
          <w:rFonts w:hint="eastAsia" w:ascii="宋体" w:hAnsi="宋体" w:cs="宋体"/>
          <w:bCs/>
          <w:sz w:val="28"/>
          <w:szCs w:val="28"/>
          <w:lang w:val="zh-CN"/>
        </w:rPr>
        <w:instrText xml:space="preserve"> PAGEREF _Toc25033 \h </w:instrText>
      </w:r>
      <w:r>
        <w:rPr>
          <w:rFonts w:hint="eastAsia" w:ascii="宋体" w:hAnsi="宋体" w:cs="宋体"/>
          <w:bCs/>
          <w:sz w:val="28"/>
          <w:szCs w:val="28"/>
          <w:lang w:val="zh-CN"/>
        </w:rPr>
        <w:fldChar w:fldCharType="separate"/>
      </w:r>
      <w:r>
        <w:rPr>
          <w:rFonts w:hint="eastAsia" w:ascii="宋体" w:hAnsi="宋体" w:cs="宋体"/>
          <w:bCs/>
          <w:sz w:val="28"/>
          <w:szCs w:val="28"/>
          <w:lang w:val="zh-CN"/>
        </w:rPr>
        <w:t>6</w:t>
      </w:r>
      <w:r>
        <w:rPr>
          <w:rFonts w:hint="eastAsia" w:ascii="宋体" w:hAnsi="宋体" w:cs="宋体"/>
          <w:bCs/>
          <w:sz w:val="28"/>
          <w:szCs w:val="28"/>
          <w:lang w:val="zh-CN"/>
        </w:rPr>
        <w:fldChar w:fldCharType="end"/>
      </w:r>
      <w:r>
        <w:rPr>
          <w:rFonts w:hint="eastAsia" w:ascii="宋体" w:hAnsi="宋体" w:eastAsia="宋体" w:cs="宋体"/>
          <w:bCs/>
          <w:sz w:val="28"/>
          <w:szCs w:val="28"/>
          <w:lang w:val="zh-CN"/>
        </w:rPr>
        <w:fldChar w:fldCharType="end"/>
      </w:r>
    </w:p>
    <w:p>
      <w:pPr>
        <w:pStyle w:val="13"/>
        <w:tabs>
          <w:tab w:val="right" w:leader="dot" w:pos="8306"/>
        </w:tabs>
        <w:ind w:firstLine="0" w:firstLineChars="0"/>
      </w:pPr>
      <w:r>
        <w:rPr>
          <w:rFonts w:hint="eastAsia" w:ascii="宋体" w:hAnsi="宋体" w:eastAsia="宋体" w:cs="宋体"/>
          <w:b/>
          <w:bCs/>
          <w:sz w:val="28"/>
          <w:szCs w:val="28"/>
          <w:lang w:val="zh-CN"/>
        </w:rPr>
        <w:fldChar w:fldCharType="begin"/>
      </w:r>
      <w:r>
        <w:rPr>
          <w:rFonts w:hint="eastAsia" w:ascii="宋体" w:hAnsi="宋体" w:eastAsia="宋体" w:cs="宋体"/>
          <w:b/>
          <w:bCs/>
          <w:sz w:val="28"/>
          <w:szCs w:val="28"/>
          <w:lang w:val="zh-CN"/>
        </w:rPr>
        <w:instrText xml:space="preserve"> HYPERLINK \l _Toc2134 </w:instrText>
      </w:r>
      <w:r>
        <w:rPr>
          <w:rFonts w:hint="eastAsia" w:ascii="宋体" w:hAnsi="宋体" w:eastAsia="宋体" w:cs="宋体"/>
          <w:b/>
          <w:bCs/>
          <w:sz w:val="28"/>
          <w:szCs w:val="28"/>
          <w:lang w:val="zh-CN"/>
        </w:rPr>
        <w:fldChar w:fldCharType="separate"/>
      </w:r>
      <w:r>
        <w:rPr>
          <w:rFonts w:hint="eastAsia" w:ascii="宋体" w:hAnsi="宋体" w:cs="宋体"/>
          <w:b/>
          <w:bCs/>
          <w:sz w:val="28"/>
          <w:szCs w:val="28"/>
          <w:lang w:val="zh-CN"/>
        </w:rPr>
        <w:t>二、党建与思想政治教育工作</w:t>
      </w:r>
      <w:r>
        <w:rPr>
          <w:rFonts w:hint="eastAsia" w:ascii="宋体" w:hAnsi="宋体" w:cs="宋体"/>
          <w:b/>
          <w:bCs/>
          <w:sz w:val="28"/>
          <w:szCs w:val="28"/>
          <w:lang w:val="zh-CN"/>
        </w:rPr>
        <w:tab/>
      </w:r>
      <w:r>
        <w:rPr>
          <w:rFonts w:hint="eastAsia" w:ascii="宋体" w:hAnsi="宋体" w:cs="宋体"/>
          <w:b/>
          <w:bCs/>
          <w:sz w:val="28"/>
          <w:szCs w:val="28"/>
          <w:lang w:val="zh-CN"/>
        </w:rPr>
        <w:fldChar w:fldCharType="begin"/>
      </w:r>
      <w:r>
        <w:rPr>
          <w:rFonts w:hint="eastAsia" w:ascii="宋体" w:hAnsi="宋体" w:cs="宋体"/>
          <w:b/>
          <w:bCs/>
          <w:sz w:val="28"/>
          <w:szCs w:val="28"/>
          <w:lang w:val="zh-CN"/>
        </w:rPr>
        <w:instrText xml:space="preserve"> PAGEREF _Toc2134 \h </w:instrText>
      </w:r>
      <w:r>
        <w:rPr>
          <w:rFonts w:hint="eastAsia" w:ascii="宋体" w:hAnsi="宋体" w:cs="宋体"/>
          <w:b/>
          <w:bCs/>
          <w:sz w:val="28"/>
          <w:szCs w:val="28"/>
          <w:lang w:val="zh-CN"/>
        </w:rPr>
        <w:fldChar w:fldCharType="separate"/>
      </w:r>
      <w:r>
        <w:rPr>
          <w:rFonts w:hint="eastAsia" w:ascii="宋体" w:hAnsi="宋体" w:cs="宋体"/>
          <w:b/>
          <w:bCs/>
          <w:sz w:val="28"/>
          <w:szCs w:val="28"/>
          <w:lang w:val="zh-CN"/>
        </w:rPr>
        <w:t>7</w:t>
      </w:r>
      <w:r>
        <w:rPr>
          <w:rFonts w:hint="eastAsia" w:ascii="宋体" w:hAnsi="宋体" w:cs="宋体"/>
          <w:b/>
          <w:bCs/>
          <w:sz w:val="28"/>
          <w:szCs w:val="28"/>
          <w:lang w:val="zh-CN"/>
        </w:rPr>
        <w:fldChar w:fldCharType="end"/>
      </w:r>
      <w:r>
        <w:rPr>
          <w:rFonts w:hint="eastAsia" w:ascii="宋体" w:hAnsi="宋体" w:eastAsia="宋体" w:cs="宋体"/>
          <w:b/>
          <w:bCs/>
          <w:sz w:val="28"/>
          <w:szCs w:val="28"/>
          <w:lang w:val="zh-CN"/>
        </w:rPr>
        <w:fldChar w:fldCharType="end"/>
      </w:r>
    </w:p>
    <w:p>
      <w:pPr>
        <w:pStyle w:val="14"/>
        <w:tabs>
          <w:tab w:val="right" w:leader="dot" w:pos="8306"/>
        </w:tabs>
        <w:ind w:firstLine="0" w:firstLineChars="0"/>
        <w:rPr>
          <w:rFonts w:hint="eastAsia" w:ascii="宋体" w:hAnsi="宋体" w:cs="宋体"/>
          <w:bCs/>
          <w:sz w:val="28"/>
          <w:szCs w:val="28"/>
          <w:lang w:val="zh-CN"/>
        </w:rPr>
      </w:pPr>
      <w:r>
        <w:rPr>
          <w:rFonts w:hint="eastAsia" w:ascii="宋体" w:hAnsi="宋体" w:eastAsia="宋体" w:cs="宋体"/>
          <w:bCs/>
          <w:sz w:val="28"/>
          <w:szCs w:val="28"/>
          <w:lang w:val="zh-CN"/>
        </w:rPr>
        <w:fldChar w:fldCharType="begin"/>
      </w:r>
      <w:r>
        <w:rPr>
          <w:rFonts w:hint="eastAsia" w:ascii="宋体" w:hAnsi="宋体" w:eastAsia="宋体" w:cs="宋体"/>
          <w:bCs/>
          <w:sz w:val="28"/>
          <w:szCs w:val="28"/>
          <w:lang w:val="zh-CN"/>
        </w:rPr>
        <w:instrText xml:space="preserve"> HYPERLINK \l _Toc20224 </w:instrText>
      </w:r>
      <w:r>
        <w:rPr>
          <w:rFonts w:hint="eastAsia" w:ascii="宋体" w:hAnsi="宋体" w:eastAsia="宋体" w:cs="宋体"/>
          <w:bCs/>
          <w:sz w:val="28"/>
          <w:szCs w:val="28"/>
          <w:lang w:val="zh-CN"/>
        </w:rPr>
        <w:fldChar w:fldCharType="separate"/>
      </w:r>
      <w:r>
        <w:rPr>
          <w:rFonts w:hint="eastAsia" w:ascii="宋体" w:hAnsi="宋体" w:cs="宋体"/>
          <w:bCs/>
          <w:sz w:val="28"/>
          <w:szCs w:val="28"/>
          <w:lang w:val="zh-CN"/>
        </w:rPr>
        <w:t>（一）党建和思想政治工作</w:t>
      </w:r>
      <w:r>
        <w:rPr>
          <w:rFonts w:hint="eastAsia" w:ascii="宋体" w:hAnsi="宋体" w:cs="宋体"/>
          <w:bCs/>
          <w:sz w:val="28"/>
          <w:szCs w:val="28"/>
          <w:lang w:val="zh-CN"/>
        </w:rPr>
        <w:tab/>
      </w:r>
      <w:r>
        <w:rPr>
          <w:rFonts w:hint="eastAsia" w:ascii="宋体" w:hAnsi="宋体" w:cs="宋体"/>
          <w:bCs/>
          <w:sz w:val="28"/>
          <w:szCs w:val="28"/>
          <w:lang w:val="zh-CN"/>
        </w:rPr>
        <w:fldChar w:fldCharType="begin"/>
      </w:r>
      <w:r>
        <w:rPr>
          <w:rFonts w:hint="eastAsia" w:ascii="宋体" w:hAnsi="宋体" w:cs="宋体"/>
          <w:bCs/>
          <w:sz w:val="28"/>
          <w:szCs w:val="28"/>
          <w:lang w:val="zh-CN"/>
        </w:rPr>
        <w:instrText xml:space="preserve"> PAGEREF _Toc20224 \h </w:instrText>
      </w:r>
      <w:r>
        <w:rPr>
          <w:rFonts w:hint="eastAsia" w:ascii="宋体" w:hAnsi="宋体" w:cs="宋体"/>
          <w:bCs/>
          <w:sz w:val="28"/>
          <w:szCs w:val="28"/>
          <w:lang w:val="zh-CN"/>
        </w:rPr>
        <w:fldChar w:fldCharType="separate"/>
      </w:r>
      <w:r>
        <w:rPr>
          <w:rFonts w:hint="eastAsia" w:ascii="宋体" w:hAnsi="宋体" w:cs="宋体"/>
          <w:bCs/>
          <w:sz w:val="28"/>
          <w:szCs w:val="28"/>
          <w:lang w:val="zh-CN"/>
        </w:rPr>
        <w:t>7</w:t>
      </w:r>
      <w:r>
        <w:rPr>
          <w:rFonts w:hint="eastAsia" w:ascii="宋体" w:hAnsi="宋体" w:cs="宋体"/>
          <w:bCs/>
          <w:sz w:val="28"/>
          <w:szCs w:val="28"/>
          <w:lang w:val="zh-CN"/>
        </w:rPr>
        <w:fldChar w:fldCharType="end"/>
      </w:r>
      <w:r>
        <w:rPr>
          <w:rFonts w:hint="eastAsia" w:ascii="宋体" w:hAnsi="宋体" w:eastAsia="宋体" w:cs="宋体"/>
          <w:bCs/>
          <w:sz w:val="28"/>
          <w:szCs w:val="28"/>
          <w:lang w:val="zh-CN"/>
        </w:rPr>
        <w:fldChar w:fldCharType="end"/>
      </w:r>
    </w:p>
    <w:p>
      <w:pPr>
        <w:pStyle w:val="14"/>
        <w:tabs>
          <w:tab w:val="right" w:leader="dot" w:pos="8306"/>
        </w:tabs>
        <w:ind w:firstLine="0" w:firstLineChars="0"/>
        <w:rPr>
          <w:rFonts w:hint="eastAsia" w:ascii="宋体" w:hAnsi="宋体" w:cs="宋体"/>
          <w:bCs/>
          <w:sz w:val="28"/>
          <w:szCs w:val="28"/>
          <w:lang w:val="zh-CN"/>
        </w:rPr>
      </w:pPr>
      <w:r>
        <w:rPr>
          <w:rFonts w:hint="eastAsia" w:ascii="宋体" w:hAnsi="宋体" w:eastAsia="宋体" w:cs="宋体"/>
          <w:bCs/>
          <w:sz w:val="28"/>
          <w:szCs w:val="28"/>
          <w:lang w:val="zh-CN"/>
        </w:rPr>
        <w:fldChar w:fldCharType="begin"/>
      </w:r>
      <w:r>
        <w:rPr>
          <w:rFonts w:hint="eastAsia" w:ascii="宋体" w:hAnsi="宋体" w:eastAsia="宋体" w:cs="宋体"/>
          <w:bCs/>
          <w:sz w:val="28"/>
          <w:szCs w:val="28"/>
          <w:lang w:val="zh-CN"/>
        </w:rPr>
        <w:instrText xml:space="preserve"> HYPERLINK \l _Toc11778 </w:instrText>
      </w:r>
      <w:r>
        <w:rPr>
          <w:rFonts w:hint="eastAsia" w:ascii="宋体" w:hAnsi="宋体" w:eastAsia="宋体" w:cs="宋体"/>
          <w:bCs/>
          <w:sz w:val="28"/>
          <w:szCs w:val="28"/>
          <w:lang w:val="zh-CN"/>
        </w:rPr>
        <w:fldChar w:fldCharType="separate"/>
      </w:r>
      <w:r>
        <w:rPr>
          <w:rFonts w:hint="eastAsia" w:ascii="宋体" w:hAnsi="宋体" w:cs="宋体"/>
          <w:bCs/>
          <w:sz w:val="28"/>
          <w:szCs w:val="28"/>
          <w:lang w:val="zh-CN"/>
        </w:rPr>
        <w:t>（二）科学道德和学风教育</w:t>
      </w:r>
      <w:r>
        <w:rPr>
          <w:rFonts w:hint="eastAsia" w:ascii="宋体" w:hAnsi="宋体" w:cs="宋体"/>
          <w:bCs/>
          <w:sz w:val="28"/>
          <w:szCs w:val="28"/>
          <w:lang w:val="zh-CN"/>
        </w:rPr>
        <w:tab/>
      </w:r>
      <w:r>
        <w:rPr>
          <w:rFonts w:hint="eastAsia" w:ascii="宋体" w:hAnsi="宋体" w:cs="宋体"/>
          <w:bCs/>
          <w:sz w:val="28"/>
          <w:szCs w:val="28"/>
          <w:lang w:val="zh-CN"/>
        </w:rPr>
        <w:fldChar w:fldCharType="begin"/>
      </w:r>
      <w:r>
        <w:rPr>
          <w:rFonts w:hint="eastAsia" w:ascii="宋体" w:hAnsi="宋体" w:cs="宋体"/>
          <w:bCs/>
          <w:sz w:val="28"/>
          <w:szCs w:val="28"/>
          <w:lang w:val="zh-CN"/>
        </w:rPr>
        <w:instrText xml:space="preserve"> PAGEREF _Toc11778 \h </w:instrText>
      </w:r>
      <w:r>
        <w:rPr>
          <w:rFonts w:hint="eastAsia" w:ascii="宋体" w:hAnsi="宋体" w:cs="宋体"/>
          <w:bCs/>
          <w:sz w:val="28"/>
          <w:szCs w:val="28"/>
          <w:lang w:val="zh-CN"/>
        </w:rPr>
        <w:fldChar w:fldCharType="separate"/>
      </w:r>
      <w:r>
        <w:rPr>
          <w:rFonts w:hint="eastAsia" w:ascii="宋体" w:hAnsi="宋体" w:cs="宋体"/>
          <w:bCs/>
          <w:sz w:val="28"/>
          <w:szCs w:val="28"/>
          <w:lang w:val="zh-CN"/>
        </w:rPr>
        <w:t>9</w:t>
      </w:r>
      <w:r>
        <w:rPr>
          <w:rFonts w:hint="eastAsia" w:ascii="宋体" w:hAnsi="宋体" w:cs="宋体"/>
          <w:bCs/>
          <w:sz w:val="28"/>
          <w:szCs w:val="28"/>
          <w:lang w:val="zh-CN"/>
        </w:rPr>
        <w:fldChar w:fldCharType="end"/>
      </w:r>
      <w:r>
        <w:rPr>
          <w:rFonts w:hint="eastAsia" w:ascii="宋体" w:hAnsi="宋体" w:eastAsia="宋体" w:cs="宋体"/>
          <w:bCs/>
          <w:sz w:val="28"/>
          <w:szCs w:val="28"/>
          <w:lang w:val="zh-CN"/>
        </w:rPr>
        <w:fldChar w:fldCharType="end"/>
      </w:r>
    </w:p>
    <w:p>
      <w:pPr>
        <w:pStyle w:val="13"/>
        <w:tabs>
          <w:tab w:val="right" w:leader="dot" w:pos="8306"/>
        </w:tabs>
        <w:ind w:firstLine="0" w:firstLineChars="0"/>
      </w:pPr>
      <w:r>
        <w:rPr>
          <w:rFonts w:hint="eastAsia" w:ascii="宋体" w:hAnsi="宋体" w:eastAsia="宋体" w:cs="宋体"/>
          <w:b/>
          <w:bCs/>
          <w:sz w:val="28"/>
          <w:szCs w:val="28"/>
          <w:lang w:val="zh-CN"/>
        </w:rPr>
        <w:fldChar w:fldCharType="begin"/>
      </w:r>
      <w:r>
        <w:rPr>
          <w:rFonts w:hint="eastAsia" w:ascii="宋体" w:hAnsi="宋体" w:eastAsia="宋体" w:cs="宋体"/>
          <w:b/>
          <w:bCs/>
          <w:sz w:val="28"/>
          <w:szCs w:val="28"/>
          <w:lang w:val="zh-CN"/>
        </w:rPr>
        <w:instrText xml:space="preserve"> HYPERLINK \l _Toc4650 </w:instrText>
      </w:r>
      <w:r>
        <w:rPr>
          <w:rFonts w:hint="eastAsia" w:ascii="宋体" w:hAnsi="宋体" w:eastAsia="宋体" w:cs="宋体"/>
          <w:b/>
          <w:bCs/>
          <w:sz w:val="28"/>
          <w:szCs w:val="28"/>
          <w:lang w:val="zh-CN"/>
        </w:rPr>
        <w:fldChar w:fldCharType="separate"/>
      </w:r>
      <w:r>
        <w:rPr>
          <w:rFonts w:hint="eastAsia" w:ascii="宋体" w:hAnsi="宋体" w:cs="宋体"/>
          <w:b/>
          <w:bCs/>
          <w:sz w:val="28"/>
          <w:szCs w:val="28"/>
          <w:lang w:val="zh-CN" w:eastAsia="zh-CN"/>
        </w:rPr>
        <w:t>三</w:t>
      </w:r>
      <w:r>
        <w:rPr>
          <w:rFonts w:hint="eastAsia" w:ascii="宋体" w:hAnsi="宋体" w:cs="宋体"/>
          <w:b/>
          <w:bCs/>
          <w:sz w:val="28"/>
          <w:szCs w:val="28"/>
          <w:lang w:val="zh-CN"/>
        </w:rPr>
        <w:t>、建设成效</w:t>
      </w:r>
      <w:r>
        <w:rPr>
          <w:rFonts w:hint="eastAsia" w:ascii="宋体" w:hAnsi="宋体" w:cs="宋体"/>
          <w:b/>
          <w:bCs/>
          <w:sz w:val="28"/>
          <w:szCs w:val="28"/>
          <w:lang w:val="zh-CN"/>
        </w:rPr>
        <w:tab/>
      </w:r>
      <w:r>
        <w:rPr>
          <w:rFonts w:hint="eastAsia" w:ascii="宋体" w:hAnsi="宋体" w:cs="宋体"/>
          <w:b/>
          <w:bCs/>
          <w:sz w:val="28"/>
          <w:szCs w:val="28"/>
          <w:lang w:val="zh-CN"/>
        </w:rPr>
        <w:fldChar w:fldCharType="begin"/>
      </w:r>
      <w:r>
        <w:rPr>
          <w:rFonts w:hint="eastAsia" w:ascii="宋体" w:hAnsi="宋体" w:cs="宋体"/>
          <w:b/>
          <w:bCs/>
          <w:sz w:val="28"/>
          <w:szCs w:val="28"/>
          <w:lang w:val="zh-CN"/>
        </w:rPr>
        <w:instrText xml:space="preserve"> PAGEREF _Toc4650 \h </w:instrText>
      </w:r>
      <w:r>
        <w:rPr>
          <w:rFonts w:hint="eastAsia" w:ascii="宋体" w:hAnsi="宋体" w:cs="宋体"/>
          <w:b/>
          <w:bCs/>
          <w:sz w:val="28"/>
          <w:szCs w:val="28"/>
          <w:lang w:val="zh-CN"/>
        </w:rPr>
        <w:fldChar w:fldCharType="separate"/>
      </w:r>
      <w:r>
        <w:rPr>
          <w:rFonts w:hint="eastAsia" w:ascii="宋体" w:hAnsi="宋体" w:cs="宋体"/>
          <w:b/>
          <w:bCs/>
          <w:sz w:val="28"/>
          <w:szCs w:val="28"/>
          <w:lang w:val="zh-CN"/>
        </w:rPr>
        <w:t>10</w:t>
      </w:r>
      <w:r>
        <w:rPr>
          <w:rFonts w:hint="eastAsia" w:ascii="宋体" w:hAnsi="宋体" w:cs="宋体"/>
          <w:b/>
          <w:bCs/>
          <w:sz w:val="28"/>
          <w:szCs w:val="28"/>
          <w:lang w:val="zh-CN"/>
        </w:rPr>
        <w:fldChar w:fldCharType="end"/>
      </w:r>
      <w:r>
        <w:rPr>
          <w:rFonts w:hint="eastAsia" w:ascii="宋体" w:hAnsi="宋体" w:eastAsia="宋体" w:cs="宋体"/>
          <w:b/>
          <w:bCs/>
          <w:sz w:val="28"/>
          <w:szCs w:val="28"/>
          <w:lang w:val="zh-CN"/>
        </w:rPr>
        <w:fldChar w:fldCharType="end"/>
      </w:r>
    </w:p>
    <w:p>
      <w:pPr>
        <w:pStyle w:val="14"/>
        <w:tabs>
          <w:tab w:val="right" w:leader="dot" w:pos="8306"/>
        </w:tabs>
        <w:ind w:firstLine="0" w:firstLineChars="0"/>
        <w:rPr>
          <w:rFonts w:hint="eastAsia" w:ascii="宋体" w:hAnsi="宋体" w:cs="宋体"/>
          <w:bCs/>
          <w:sz w:val="28"/>
          <w:szCs w:val="28"/>
          <w:lang w:val="zh-CN"/>
        </w:rPr>
      </w:pPr>
      <w:r>
        <w:rPr>
          <w:rFonts w:hint="eastAsia" w:ascii="宋体" w:hAnsi="宋体" w:eastAsia="宋体" w:cs="宋体"/>
          <w:bCs/>
          <w:sz w:val="28"/>
          <w:szCs w:val="28"/>
          <w:lang w:val="zh-CN"/>
        </w:rPr>
        <w:fldChar w:fldCharType="begin"/>
      </w:r>
      <w:r>
        <w:rPr>
          <w:rFonts w:hint="eastAsia" w:ascii="宋体" w:hAnsi="宋体" w:eastAsia="宋体" w:cs="宋体"/>
          <w:bCs/>
          <w:sz w:val="28"/>
          <w:szCs w:val="28"/>
          <w:lang w:val="zh-CN"/>
        </w:rPr>
        <w:instrText xml:space="preserve"> HYPERLINK \l _Toc21401 </w:instrText>
      </w:r>
      <w:r>
        <w:rPr>
          <w:rFonts w:hint="eastAsia" w:ascii="宋体" w:hAnsi="宋体" w:eastAsia="宋体" w:cs="宋体"/>
          <w:bCs/>
          <w:sz w:val="28"/>
          <w:szCs w:val="28"/>
          <w:lang w:val="zh-CN"/>
        </w:rPr>
        <w:fldChar w:fldCharType="separate"/>
      </w:r>
      <w:r>
        <w:rPr>
          <w:rFonts w:hint="eastAsia" w:ascii="宋体" w:hAnsi="宋体" w:cs="宋体"/>
          <w:bCs/>
          <w:sz w:val="28"/>
          <w:szCs w:val="28"/>
          <w:lang w:val="zh-CN"/>
        </w:rPr>
        <w:t>（一）</w:t>
      </w:r>
      <w:r>
        <w:rPr>
          <w:rFonts w:hint="eastAsia" w:ascii="宋体" w:hAnsi="宋体" w:cs="宋体"/>
          <w:bCs/>
          <w:sz w:val="28"/>
          <w:szCs w:val="28"/>
          <w:highlight w:val="none"/>
          <w:lang w:val="zh-CN"/>
        </w:rPr>
        <w:t>导师科研成果</w:t>
      </w:r>
      <w:r>
        <w:rPr>
          <w:rFonts w:hint="eastAsia" w:ascii="宋体" w:hAnsi="宋体" w:cs="宋体"/>
          <w:bCs/>
          <w:sz w:val="28"/>
          <w:szCs w:val="28"/>
          <w:lang w:val="zh-CN"/>
        </w:rPr>
        <w:tab/>
      </w:r>
      <w:r>
        <w:rPr>
          <w:rFonts w:hint="eastAsia" w:ascii="宋体" w:hAnsi="宋体" w:cs="宋体"/>
          <w:bCs/>
          <w:sz w:val="28"/>
          <w:szCs w:val="28"/>
          <w:lang w:val="zh-CN"/>
        </w:rPr>
        <w:fldChar w:fldCharType="begin"/>
      </w:r>
      <w:r>
        <w:rPr>
          <w:rFonts w:hint="eastAsia" w:ascii="宋体" w:hAnsi="宋体" w:cs="宋体"/>
          <w:bCs/>
          <w:sz w:val="28"/>
          <w:szCs w:val="28"/>
          <w:lang w:val="zh-CN"/>
        </w:rPr>
        <w:instrText xml:space="preserve"> PAGEREF _Toc21401 \h </w:instrText>
      </w:r>
      <w:r>
        <w:rPr>
          <w:rFonts w:hint="eastAsia" w:ascii="宋体" w:hAnsi="宋体" w:cs="宋体"/>
          <w:bCs/>
          <w:sz w:val="28"/>
          <w:szCs w:val="28"/>
          <w:lang w:val="zh-CN"/>
        </w:rPr>
        <w:fldChar w:fldCharType="separate"/>
      </w:r>
      <w:r>
        <w:rPr>
          <w:rFonts w:hint="eastAsia" w:ascii="宋体" w:hAnsi="宋体" w:cs="宋体"/>
          <w:bCs/>
          <w:sz w:val="28"/>
          <w:szCs w:val="28"/>
          <w:lang w:val="zh-CN"/>
        </w:rPr>
        <w:t>10</w:t>
      </w:r>
      <w:r>
        <w:rPr>
          <w:rFonts w:hint="eastAsia" w:ascii="宋体" w:hAnsi="宋体" w:cs="宋体"/>
          <w:bCs/>
          <w:sz w:val="28"/>
          <w:szCs w:val="28"/>
          <w:lang w:val="zh-CN"/>
        </w:rPr>
        <w:fldChar w:fldCharType="end"/>
      </w:r>
      <w:r>
        <w:rPr>
          <w:rFonts w:hint="eastAsia" w:ascii="宋体" w:hAnsi="宋体" w:eastAsia="宋体" w:cs="宋体"/>
          <w:bCs/>
          <w:sz w:val="28"/>
          <w:szCs w:val="28"/>
          <w:lang w:val="zh-CN"/>
        </w:rPr>
        <w:fldChar w:fldCharType="end"/>
      </w:r>
    </w:p>
    <w:p>
      <w:pPr>
        <w:pStyle w:val="14"/>
        <w:tabs>
          <w:tab w:val="right" w:leader="dot" w:pos="8306"/>
        </w:tabs>
        <w:ind w:firstLine="0" w:firstLineChars="0"/>
        <w:rPr>
          <w:rFonts w:hint="eastAsia" w:ascii="宋体" w:hAnsi="宋体" w:cs="宋体"/>
          <w:bCs/>
          <w:sz w:val="28"/>
          <w:szCs w:val="28"/>
          <w:lang w:val="zh-CN"/>
        </w:rPr>
      </w:pPr>
      <w:r>
        <w:rPr>
          <w:rFonts w:hint="eastAsia" w:ascii="宋体" w:hAnsi="宋体" w:eastAsia="宋体" w:cs="宋体"/>
          <w:bCs/>
          <w:sz w:val="28"/>
          <w:szCs w:val="28"/>
          <w:lang w:val="zh-CN"/>
        </w:rPr>
        <w:fldChar w:fldCharType="begin"/>
      </w:r>
      <w:r>
        <w:rPr>
          <w:rFonts w:hint="eastAsia" w:ascii="宋体" w:hAnsi="宋体" w:eastAsia="宋体" w:cs="宋体"/>
          <w:bCs/>
          <w:sz w:val="28"/>
          <w:szCs w:val="28"/>
          <w:lang w:val="zh-CN"/>
        </w:rPr>
        <w:instrText xml:space="preserve"> HYPERLINK \l _Toc12615 </w:instrText>
      </w:r>
      <w:r>
        <w:rPr>
          <w:rFonts w:hint="eastAsia" w:ascii="宋体" w:hAnsi="宋体" w:eastAsia="宋体" w:cs="宋体"/>
          <w:bCs/>
          <w:sz w:val="28"/>
          <w:szCs w:val="28"/>
          <w:lang w:val="zh-CN"/>
        </w:rPr>
        <w:fldChar w:fldCharType="separate"/>
      </w:r>
      <w:r>
        <w:rPr>
          <w:rFonts w:hint="eastAsia" w:ascii="宋体" w:hAnsi="宋体" w:cs="宋体"/>
          <w:bCs/>
          <w:sz w:val="28"/>
          <w:szCs w:val="28"/>
          <w:lang w:val="zh-CN"/>
        </w:rPr>
        <w:t>（二）研究生培养</w:t>
      </w:r>
      <w:r>
        <w:rPr>
          <w:rFonts w:hint="eastAsia" w:ascii="宋体" w:hAnsi="宋体" w:cs="宋体"/>
          <w:bCs/>
          <w:sz w:val="28"/>
          <w:szCs w:val="28"/>
          <w:lang w:val="zh-CN"/>
        </w:rPr>
        <w:tab/>
      </w:r>
      <w:r>
        <w:rPr>
          <w:rFonts w:hint="eastAsia" w:ascii="宋体" w:hAnsi="宋体" w:cs="宋体"/>
          <w:bCs/>
          <w:sz w:val="28"/>
          <w:szCs w:val="28"/>
          <w:lang w:val="zh-CN"/>
        </w:rPr>
        <w:fldChar w:fldCharType="begin"/>
      </w:r>
      <w:r>
        <w:rPr>
          <w:rFonts w:hint="eastAsia" w:ascii="宋体" w:hAnsi="宋体" w:cs="宋体"/>
          <w:bCs/>
          <w:sz w:val="28"/>
          <w:szCs w:val="28"/>
          <w:lang w:val="zh-CN"/>
        </w:rPr>
        <w:instrText xml:space="preserve"> PAGEREF _Toc12615 \h </w:instrText>
      </w:r>
      <w:r>
        <w:rPr>
          <w:rFonts w:hint="eastAsia" w:ascii="宋体" w:hAnsi="宋体" w:cs="宋体"/>
          <w:bCs/>
          <w:sz w:val="28"/>
          <w:szCs w:val="28"/>
          <w:lang w:val="zh-CN"/>
        </w:rPr>
        <w:fldChar w:fldCharType="separate"/>
      </w:r>
      <w:r>
        <w:rPr>
          <w:rFonts w:hint="eastAsia" w:ascii="宋体" w:hAnsi="宋体" w:cs="宋体"/>
          <w:bCs/>
          <w:sz w:val="28"/>
          <w:szCs w:val="28"/>
          <w:lang w:val="zh-CN"/>
        </w:rPr>
        <w:t>12</w:t>
      </w:r>
      <w:r>
        <w:rPr>
          <w:rFonts w:hint="eastAsia" w:ascii="宋体" w:hAnsi="宋体" w:cs="宋体"/>
          <w:bCs/>
          <w:sz w:val="28"/>
          <w:szCs w:val="28"/>
          <w:lang w:val="zh-CN"/>
        </w:rPr>
        <w:fldChar w:fldCharType="end"/>
      </w:r>
      <w:r>
        <w:rPr>
          <w:rFonts w:hint="eastAsia" w:ascii="宋体" w:hAnsi="宋体" w:eastAsia="宋体" w:cs="宋体"/>
          <w:bCs/>
          <w:sz w:val="28"/>
          <w:szCs w:val="28"/>
          <w:lang w:val="zh-CN"/>
        </w:rPr>
        <w:fldChar w:fldCharType="end"/>
      </w:r>
    </w:p>
    <w:p>
      <w:pPr>
        <w:pStyle w:val="14"/>
        <w:tabs>
          <w:tab w:val="right" w:leader="dot" w:pos="8306"/>
        </w:tabs>
        <w:ind w:firstLine="0" w:firstLineChars="0"/>
        <w:rPr>
          <w:rFonts w:hint="eastAsia" w:ascii="宋体" w:hAnsi="宋体" w:cs="宋体"/>
          <w:bCs/>
          <w:sz w:val="28"/>
          <w:szCs w:val="28"/>
          <w:lang w:val="zh-CN"/>
        </w:rPr>
      </w:pPr>
      <w:r>
        <w:rPr>
          <w:rFonts w:hint="eastAsia" w:ascii="宋体" w:hAnsi="宋体" w:eastAsia="宋体" w:cs="宋体"/>
          <w:bCs/>
          <w:sz w:val="28"/>
          <w:szCs w:val="28"/>
          <w:lang w:val="zh-CN"/>
        </w:rPr>
        <w:fldChar w:fldCharType="begin"/>
      </w:r>
      <w:r>
        <w:rPr>
          <w:rFonts w:hint="eastAsia" w:ascii="宋体" w:hAnsi="宋体" w:eastAsia="宋体" w:cs="宋体"/>
          <w:bCs/>
          <w:sz w:val="28"/>
          <w:szCs w:val="28"/>
          <w:lang w:val="zh-CN"/>
        </w:rPr>
        <w:instrText xml:space="preserve"> HYPERLINK \l _Toc12094 </w:instrText>
      </w:r>
      <w:r>
        <w:rPr>
          <w:rFonts w:hint="eastAsia" w:ascii="宋体" w:hAnsi="宋体" w:eastAsia="宋体" w:cs="宋体"/>
          <w:bCs/>
          <w:sz w:val="28"/>
          <w:szCs w:val="28"/>
          <w:lang w:val="zh-CN"/>
        </w:rPr>
        <w:fldChar w:fldCharType="separate"/>
      </w:r>
      <w:r>
        <w:rPr>
          <w:rFonts w:hint="eastAsia" w:ascii="宋体" w:hAnsi="宋体" w:cs="宋体"/>
          <w:bCs/>
          <w:sz w:val="28"/>
          <w:szCs w:val="28"/>
          <w:lang w:val="zh-CN"/>
        </w:rPr>
        <w:t>（三）研究生教育质量</w:t>
      </w:r>
      <w:r>
        <w:rPr>
          <w:rFonts w:hint="eastAsia" w:ascii="宋体" w:hAnsi="宋体" w:cs="宋体"/>
          <w:bCs/>
          <w:sz w:val="28"/>
          <w:szCs w:val="28"/>
          <w:lang w:val="zh-CN"/>
        </w:rPr>
        <w:tab/>
      </w:r>
      <w:r>
        <w:rPr>
          <w:rFonts w:hint="eastAsia" w:ascii="宋体" w:hAnsi="宋体" w:cs="宋体"/>
          <w:bCs/>
          <w:sz w:val="28"/>
          <w:szCs w:val="28"/>
          <w:lang w:val="zh-CN"/>
        </w:rPr>
        <w:fldChar w:fldCharType="begin"/>
      </w:r>
      <w:r>
        <w:rPr>
          <w:rFonts w:hint="eastAsia" w:ascii="宋体" w:hAnsi="宋体" w:cs="宋体"/>
          <w:bCs/>
          <w:sz w:val="28"/>
          <w:szCs w:val="28"/>
          <w:lang w:val="zh-CN"/>
        </w:rPr>
        <w:instrText xml:space="preserve"> PAGEREF _Toc12094 \h </w:instrText>
      </w:r>
      <w:r>
        <w:rPr>
          <w:rFonts w:hint="eastAsia" w:ascii="宋体" w:hAnsi="宋体" w:cs="宋体"/>
          <w:bCs/>
          <w:sz w:val="28"/>
          <w:szCs w:val="28"/>
          <w:lang w:val="zh-CN"/>
        </w:rPr>
        <w:fldChar w:fldCharType="separate"/>
      </w:r>
      <w:r>
        <w:rPr>
          <w:rFonts w:hint="eastAsia" w:ascii="宋体" w:hAnsi="宋体" w:cs="宋体"/>
          <w:bCs/>
          <w:sz w:val="28"/>
          <w:szCs w:val="28"/>
          <w:lang w:val="zh-CN"/>
        </w:rPr>
        <w:t>17</w:t>
      </w:r>
      <w:r>
        <w:rPr>
          <w:rFonts w:hint="eastAsia" w:ascii="宋体" w:hAnsi="宋体" w:cs="宋体"/>
          <w:bCs/>
          <w:sz w:val="28"/>
          <w:szCs w:val="28"/>
          <w:lang w:val="zh-CN"/>
        </w:rPr>
        <w:fldChar w:fldCharType="end"/>
      </w:r>
      <w:r>
        <w:rPr>
          <w:rFonts w:hint="eastAsia" w:ascii="宋体" w:hAnsi="宋体" w:eastAsia="宋体" w:cs="宋体"/>
          <w:bCs/>
          <w:sz w:val="28"/>
          <w:szCs w:val="28"/>
          <w:lang w:val="zh-CN"/>
        </w:rPr>
        <w:fldChar w:fldCharType="end"/>
      </w:r>
    </w:p>
    <w:p>
      <w:pPr>
        <w:pStyle w:val="13"/>
        <w:tabs>
          <w:tab w:val="right" w:leader="dot" w:pos="8306"/>
        </w:tabs>
        <w:ind w:firstLine="0" w:firstLineChars="0"/>
      </w:pPr>
      <w:r>
        <w:rPr>
          <w:rFonts w:hint="eastAsia" w:ascii="宋体" w:hAnsi="宋体" w:eastAsia="宋体" w:cs="宋体"/>
          <w:b/>
          <w:bCs/>
          <w:sz w:val="28"/>
          <w:szCs w:val="28"/>
          <w:lang w:val="zh-CN"/>
        </w:rPr>
        <w:fldChar w:fldCharType="begin"/>
      </w:r>
      <w:r>
        <w:rPr>
          <w:rFonts w:hint="eastAsia" w:ascii="宋体" w:hAnsi="宋体" w:eastAsia="宋体" w:cs="宋体"/>
          <w:b/>
          <w:bCs/>
          <w:sz w:val="28"/>
          <w:szCs w:val="28"/>
          <w:lang w:val="zh-CN"/>
        </w:rPr>
        <w:instrText xml:space="preserve"> HYPERLINK \l _Toc14727 </w:instrText>
      </w:r>
      <w:r>
        <w:rPr>
          <w:rFonts w:hint="eastAsia" w:ascii="宋体" w:hAnsi="宋体" w:eastAsia="宋体" w:cs="宋体"/>
          <w:b/>
          <w:bCs/>
          <w:sz w:val="28"/>
          <w:szCs w:val="28"/>
          <w:lang w:val="zh-CN"/>
        </w:rPr>
        <w:fldChar w:fldCharType="separate"/>
      </w:r>
      <w:r>
        <w:rPr>
          <w:rFonts w:hint="eastAsia" w:ascii="宋体" w:hAnsi="宋体" w:cs="宋体"/>
          <w:b/>
          <w:bCs/>
          <w:sz w:val="28"/>
          <w:szCs w:val="28"/>
          <w:lang w:val="zh-CN" w:eastAsia="zh-CN"/>
        </w:rPr>
        <w:t>四</w:t>
      </w:r>
      <w:r>
        <w:rPr>
          <w:rFonts w:hint="eastAsia" w:ascii="宋体" w:hAnsi="宋体" w:cs="宋体"/>
          <w:b/>
          <w:bCs/>
          <w:sz w:val="28"/>
          <w:szCs w:val="28"/>
          <w:lang w:val="zh-CN"/>
        </w:rPr>
        <w:t>、学位授权点教育质量评估与改进计划</w:t>
      </w:r>
      <w:r>
        <w:rPr>
          <w:rFonts w:hint="eastAsia" w:ascii="宋体" w:hAnsi="宋体" w:cs="宋体"/>
          <w:b/>
          <w:bCs/>
          <w:sz w:val="28"/>
          <w:szCs w:val="28"/>
          <w:lang w:val="zh-CN"/>
        </w:rPr>
        <w:tab/>
      </w:r>
      <w:r>
        <w:rPr>
          <w:rFonts w:hint="eastAsia" w:ascii="宋体" w:hAnsi="宋体" w:cs="宋体"/>
          <w:b/>
          <w:bCs/>
          <w:sz w:val="28"/>
          <w:szCs w:val="28"/>
          <w:lang w:val="zh-CN"/>
        </w:rPr>
        <w:fldChar w:fldCharType="begin"/>
      </w:r>
      <w:r>
        <w:rPr>
          <w:rFonts w:hint="eastAsia" w:ascii="宋体" w:hAnsi="宋体" w:cs="宋体"/>
          <w:b/>
          <w:bCs/>
          <w:sz w:val="28"/>
          <w:szCs w:val="28"/>
          <w:lang w:val="zh-CN"/>
        </w:rPr>
        <w:instrText xml:space="preserve"> PAGEREF _Toc14727 \h </w:instrText>
      </w:r>
      <w:r>
        <w:rPr>
          <w:rFonts w:hint="eastAsia" w:ascii="宋体" w:hAnsi="宋体" w:cs="宋体"/>
          <w:b/>
          <w:bCs/>
          <w:sz w:val="28"/>
          <w:szCs w:val="28"/>
          <w:lang w:val="zh-CN"/>
        </w:rPr>
        <w:fldChar w:fldCharType="separate"/>
      </w:r>
      <w:r>
        <w:rPr>
          <w:rFonts w:hint="eastAsia" w:ascii="宋体" w:hAnsi="宋体" w:cs="宋体"/>
          <w:b/>
          <w:bCs/>
          <w:sz w:val="28"/>
          <w:szCs w:val="28"/>
          <w:lang w:val="zh-CN"/>
        </w:rPr>
        <w:t>20</w:t>
      </w:r>
      <w:r>
        <w:rPr>
          <w:rFonts w:hint="eastAsia" w:ascii="宋体" w:hAnsi="宋体" w:cs="宋体"/>
          <w:b/>
          <w:bCs/>
          <w:sz w:val="28"/>
          <w:szCs w:val="28"/>
          <w:lang w:val="zh-CN"/>
        </w:rPr>
        <w:fldChar w:fldCharType="end"/>
      </w:r>
      <w:r>
        <w:rPr>
          <w:rFonts w:hint="eastAsia" w:ascii="宋体" w:hAnsi="宋体" w:eastAsia="宋体" w:cs="宋体"/>
          <w:b/>
          <w:bCs/>
          <w:sz w:val="28"/>
          <w:szCs w:val="28"/>
          <w:lang w:val="zh-CN"/>
        </w:rPr>
        <w:fldChar w:fldCharType="end"/>
      </w:r>
    </w:p>
    <w:p>
      <w:pPr>
        <w:pStyle w:val="14"/>
        <w:tabs>
          <w:tab w:val="right" w:leader="dot" w:pos="8306"/>
        </w:tabs>
        <w:ind w:firstLine="0" w:firstLineChars="0"/>
        <w:rPr>
          <w:rFonts w:hint="eastAsia" w:ascii="宋体" w:hAnsi="宋体" w:cs="宋体"/>
          <w:bCs/>
          <w:sz w:val="28"/>
          <w:szCs w:val="28"/>
          <w:lang w:val="zh-CN"/>
        </w:rPr>
      </w:pPr>
      <w:r>
        <w:rPr>
          <w:rFonts w:hint="eastAsia" w:ascii="宋体" w:hAnsi="宋体" w:eastAsia="宋体" w:cs="宋体"/>
          <w:bCs/>
          <w:sz w:val="28"/>
          <w:szCs w:val="28"/>
          <w:lang w:val="zh-CN"/>
        </w:rPr>
        <w:fldChar w:fldCharType="begin"/>
      </w:r>
      <w:r>
        <w:rPr>
          <w:rFonts w:hint="eastAsia" w:ascii="宋体" w:hAnsi="宋体" w:eastAsia="宋体" w:cs="宋体"/>
          <w:bCs/>
          <w:sz w:val="28"/>
          <w:szCs w:val="28"/>
          <w:lang w:val="zh-CN"/>
        </w:rPr>
        <w:instrText xml:space="preserve"> HYPERLINK \l _Toc29329 </w:instrText>
      </w:r>
      <w:r>
        <w:rPr>
          <w:rFonts w:hint="eastAsia" w:ascii="宋体" w:hAnsi="宋体" w:eastAsia="宋体" w:cs="宋体"/>
          <w:bCs/>
          <w:sz w:val="28"/>
          <w:szCs w:val="28"/>
          <w:lang w:val="zh-CN"/>
        </w:rPr>
        <w:fldChar w:fldCharType="separate"/>
      </w:r>
      <w:r>
        <w:rPr>
          <w:rFonts w:hint="eastAsia" w:ascii="宋体" w:hAnsi="宋体" w:cs="宋体"/>
          <w:bCs/>
          <w:sz w:val="28"/>
          <w:szCs w:val="28"/>
          <w:lang w:val="zh-CN"/>
        </w:rPr>
        <w:t>（一）自我评估进展和</w:t>
      </w:r>
      <w:r>
        <w:rPr>
          <w:rFonts w:hint="eastAsia" w:ascii="宋体" w:hAnsi="宋体" w:cs="宋体"/>
          <w:bCs/>
          <w:sz w:val="28"/>
          <w:szCs w:val="28"/>
          <w:lang w:val="zh-CN" w:eastAsia="zh-Hans"/>
        </w:rPr>
        <w:t>存在</w:t>
      </w:r>
      <w:r>
        <w:rPr>
          <w:rFonts w:hint="eastAsia" w:ascii="宋体" w:hAnsi="宋体" w:cs="宋体"/>
          <w:bCs/>
          <w:sz w:val="28"/>
          <w:szCs w:val="28"/>
          <w:lang w:val="zh-CN"/>
        </w:rPr>
        <w:t>问题分析</w:t>
      </w:r>
      <w:r>
        <w:rPr>
          <w:rFonts w:hint="eastAsia" w:ascii="宋体" w:hAnsi="宋体" w:cs="宋体"/>
          <w:bCs/>
          <w:sz w:val="28"/>
          <w:szCs w:val="28"/>
          <w:lang w:val="zh-CN"/>
        </w:rPr>
        <w:tab/>
      </w:r>
      <w:r>
        <w:rPr>
          <w:rFonts w:hint="eastAsia" w:ascii="宋体" w:hAnsi="宋体" w:cs="宋体"/>
          <w:bCs/>
          <w:sz w:val="28"/>
          <w:szCs w:val="28"/>
          <w:lang w:val="zh-CN"/>
        </w:rPr>
        <w:fldChar w:fldCharType="begin"/>
      </w:r>
      <w:r>
        <w:rPr>
          <w:rFonts w:hint="eastAsia" w:ascii="宋体" w:hAnsi="宋体" w:cs="宋体"/>
          <w:bCs/>
          <w:sz w:val="28"/>
          <w:szCs w:val="28"/>
          <w:lang w:val="zh-CN"/>
        </w:rPr>
        <w:instrText xml:space="preserve"> PAGEREF _Toc29329 \h </w:instrText>
      </w:r>
      <w:r>
        <w:rPr>
          <w:rFonts w:hint="eastAsia" w:ascii="宋体" w:hAnsi="宋体" w:cs="宋体"/>
          <w:bCs/>
          <w:sz w:val="28"/>
          <w:szCs w:val="28"/>
          <w:lang w:val="zh-CN"/>
        </w:rPr>
        <w:fldChar w:fldCharType="separate"/>
      </w:r>
      <w:r>
        <w:rPr>
          <w:rFonts w:hint="eastAsia" w:ascii="宋体" w:hAnsi="宋体" w:cs="宋体"/>
          <w:bCs/>
          <w:sz w:val="28"/>
          <w:szCs w:val="28"/>
          <w:lang w:val="zh-CN"/>
        </w:rPr>
        <w:t>20</w:t>
      </w:r>
      <w:r>
        <w:rPr>
          <w:rFonts w:hint="eastAsia" w:ascii="宋体" w:hAnsi="宋体" w:cs="宋体"/>
          <w:bCs/>
          <w:sz w:val="28"/>
          <w:szCs w:val="28"/>
          <w:lang w:val="zh-CN"/>
        </w:rPr>
        <w:fldChar w:fldCharType="end"/>
      </w:r>
      <w:r>
        <w:rPr>
          <w:rFonts w:hint="eastAsia" w:ascii="宋体" w:hAnsi="宋体" w:eastAsia="宋体" w:cs="宋体"/>
          <w:bCs/>
          <w:sz w:val="28"/>
          <w:szCs w:val="28"/>
          <w:lang w:val="zh-CN"/>
        </w:rPr>
        <w:fldChar w:fldCharType="end"/>
      </w:r>
    </w:p>
    <w:p>
      <w:pPr>
        <w:pStyle w:val="14"/>
        <w:tabs>
          <w:tab w:val="right" w:leader="dot" w:pos="8306"/>
        </w:tabs>
        <w:ind w:firstLine="0" w:firstLineChars="0"/>
        <w:rPr>
          <w:rFonts w:hint="eastAsia" w:ascii="宋体" w:hAnsi="宋体" w:cs="宋体"/>
          <w:bCs/>
          <w:sz w:val="28"/>
          <w:szCs w:val="28"/>
          <w:lang w:val="zh-CN"/>
        </w:rPr>
      </w:pPr>
      <w:r>
        <w:rPr>
          <w:rFonts w:hint="eastAsia" w:ascii="宋体" w:hAnsi="宋体" w:eastAsia="宋体" w:cs="宋体"/>
          <w:bCs/>
          <w:sz w:val="28"/>
          <w:szCs w:val="28"/>
          <w:lang w:val="zh-CN"/>
        </w:rPr>
        <w:fldChar w:fldCharType="begin"/>
      </w:r>
      <w:r>
        <w:rPr>
          <w:rFonts w:hint="eastAsia" w:ascii="宋体" w:hAnsi="宋体" w:eastAsia="宋体" w:cs="宋体"/>
          <w:bCs/>
          <w:sz w:val="28"/>
          <w:szCs w:val="28"/>
          <w:lang w:val="zh-CN"/>
        </w:rPr>
        <w:instrText xml:space="preserve"> HYPERLINK \l _Toc21108 </w:instrText>
      </w:r>
      <w:r>
        <w:rPr>
          <w:rFonts w:hint="eastAsia" w:ascii="宋体" w:hAnsi="宋体" w:eastAsia="宋体" w:cs="宋体"/>
          <w:bCs/>
          <w:sz w:val="28"/>
          <w:szCs w:val="28"/>
          <w:lang w:val="zh-CN"/>
        </w:rPr>
        <w:fldChar w:fldCharType="separate"/>
      </w:r>
      <w:r>
        <w:rPr>
          <w:rFonts w:hint="eastAsia" w:ascii="宋体" w:hAnsi="宋体" w:cs="宋体"/>
          <w:bCs/>
          <w:sz w:val="28"/>
          <w:szCs w:val="28"/>
          <w:highlight w:val="none"/>
          <w:lang w:val="zh-CN"/>
        </w:rPr>
        <w:t>（二）改进</w:t>
      </w:r>
      <w:r>
        <w:rPr>
          <w:rFonts w:hint="eastAsia" w:ascii="宋体" w:hAnsi="宋体" w:cs="宋体"/>
          <w:bCs/>
          <w:sz w:val="28"/>
          <w:szCs w:val="28"/>
          <w:highlight w:val="none"/>
          <w:lang w:val="zh-CN" w:eastAsia="zh-CN"/>
        </w:rPr>
        <w:t>措施</w:t>
      </w:r>
      <w:r>
        <w:rPr>
          <w:rFonts w:hint="eastAsia" w:ascii="宋体" w:hAnsi="宋体" w:cs="宋体"/>
          <w:bCs/>
          <w:sz w:val="28"/>
          <w:szCs w:val="28"/>
          <w:lang w:val="zh-CN"/>
        </w:rPr>
        <w:tab/>
      </w:r>
      <w:r>
        <w:rPr>
          <w:rFonts w:hint="eastAsia" w:ascii="宋体" w:hAnsi="宋体" w:cs="宋体"/>
          <w:bCs/>
          <w:sz w:val="28"/>
          <w:szCs w:val="28"/>
          <w:lang w:val="zh-CN"/>
        </w:rPr>
        <w:fldChar w:fldCharType="begin"/>
      </w:r>
      <w:r>
        <w:rPr>
          <w:rFonts w:hint="eastAsia" w:ascii="宋体" w:hAnsi="宋体" w:cs="宋体"/>
          <w:bCs/>
          <w:sz w:val="28"/>
          <w:szCs w:val="28"/>
          <w:lang w:val="zh-CN"/>
        </w:rPr>
        <w:instrText xml:space="preserve"> PAGEREF _Toc21108 \h </w:instrText>
      </w:r>
      <w:r>
        <w:rPr>
          <w:rFonts w:hint="eastAsia" w:ascii="宋体" w:hAnsi="宋体" w:cs="宋体"/>
          <w:bCs/>
          <w:sz w:val="28"/>
          <w:szCs w:val="28"/>
          <w:lang w:val="zh-CN"/>
        </w:rPr>
        <w:fldChar w:fldCharType="separate"/>
      </w:r>
      <w:r>
        <w:rPr>
          <w:rFonts w:hint="eastAsia" w:ascii="宋体" w:hAnsi="宋体" w:cs="宋体"/>
          <w:bCs/>
          <w:sz w:val="28"/>
          <w:szCs w:val="28"/>
          <w:lang w:val="zh-CN"/>
        </w:rPr>
        <w:t>22</w:t>
      </w:r>
      <w:r>
        <w:rPr>
          <w:rFonts w:hint="eastAsia" w:ascii="宋体" w:hAnsi="宋体" w:cs="宋体"/>
          <w:bCs/>
          <w:sz w:val="28"/>
          <w:szCs w:val="28"/>
          <w:lang w:val="zh-CN"/>
        </w:rPr>
        <w:fldChar w:fldCharType="end"/>
      </w:r>
      <w:r>
        <w:rPr>
          <w:rFonts w:hint="eastAsia" w:ascii="宋体" w:hAnsi="宋体" w:eastAsia="宋体" w:cs="宋体"/>
          <w:bCs/>
          <w:sz w:val="28"/>
          <w:szCs w:val="28"/>
          <w:lang w:val="zh-CN"/>
        </w:rPr>
        <w:fldChar w:fldCharType="end"/>
      </w:r>
    </w:p>
    <w:p>
      <w:pPr>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ascii="楷体" w:hAnsi="楷体" w:eastAsia="楷体" w:cs="楷体"/>
          <w:bCs/>
          <w:sz w:val="32"/>
          <w:szCs w:val="32"/>
          <w:lang w:val="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r>
        <w:rPr>
          <w:rFonts w:hint="eastAsia" w:ascii="宋体" w:hAnsi="宋体" w:eastAsia="宋体" w:cs="宋体"/>
          <w:bCs/>
          <w:szCs w:val="28"/>
          <w:lang w:val="zh-CN"/>
        </w:rPr>
        <w:fldChar w:fldCharType="end"/>
      </w:r>
    </w:p>
    <w:p>
      <w:pPr>
        <w:pStyle w:val="3"/>
        <w:keepNext w:val="0"/>
        <w:keepLines w:val="0"/>
        <w:widowControl w:val="0"/>
        <w:ind w:firstLine="723" w:firstLineChars="200"/>
        <w:rPr>
          <w:rFonts w:hint="eastAsia"/>
        </w:rPr>
      </w:pPr>
      <w:bookmarkStart w:id="6" w:name="_Toc101036320"/>
      <w:bookmarkStart w:id="7" w:name="_Toc28785"/>
      <w:bookmarkStart w:id="8" w:name="_Toc29925"/>
      <w:bookmarkStart w:id="9" w:name="_Toc25490"/>
      <w:r>
        <w:rPr>
          <w:rFonts w:hint="eastAsia"/>
        </w:rPr>
        <w:t>一、学位授权点基本情况</w:t>
      </w:r>
      <w:bookmarkEnd w:id="6"/>
      <w:bookmarkEnd w:id="7"/>
      <w:bookmarkEnd w:id="8"/>
      <w:bookmarkEnd w:id="9"/>
    </w:p>
    <w:p>
      <w:pPr>
        <w:pStyle w:val="4"/>
        <w:keepNext w:val="0"/>
        <w:keepLines w:val="0"/>
        <w:widowControl w:val="0"/>
        <w:ind w:firstLine="602" w:firstLineChars="200"/>
        <w:rPr>
          <w:rFonts w:hint="eastAsia" w:eastAsia="黑体"/>
          <w:lang w:val="en-US" w:eastAsia="zh-CN"/>
        </w:rPr>
      </w:pPr>
      <w:bookmarkStart w:id="10" w:name="_Toc101036321"/>
      <w:bookmarkStart w:id="11" w:name="_Toc24176"/>
      <w:bookmarkStart w:id="12" w:name="_Toc15958"/>
      <w:bookmarkStart w:id="13" w:name="_Toc19458"/>
      <w:r>
        <w:rPr>
          <w:rFonts w:hint="eastAsia"/>
        </w:rPr>
        <w:t>（一）发展沿革</w:t>
      </w:r>
      <w:bookmarkEnd w:id="10"/>
      <w:bookmarkEnd w:id="11"/>
      <w:r>
        <w:rPr>
          <w:rFonts w:hint="eastAsia"/>
          <w:lang w:val="en-US" w:eastAsia="zh-CN"/>
        </w:rPr>
        <w:t>和特色</w:t>
      </w:r>
      <w:bookmarkEnd w:id="12"/>
      <w:bookmarkEnd w:id="13"/>
    </w:p>
    <w:p>
      <w:pPr>
        <w:pStyle w:val="5"/>
        <w:keepNext w:val="0"/>
        <w:keepLines w:val="0"/>
        <w:widowControl w:val="0"/>
        <w:ind w:firstLine="560" w:firstLineChars="200"/>
        <w:rPr>
          <w:rFonts w:hint="eastAsia" w:eastAsia="黑体"/>
          <w:lang w:val="en-US" w:eastAsia="zh-CN"/>
        </w:rPr>
      </w:pPr>
      <w:r>
        <w:rPr>
          <w:rFonts w:hint="eastAsia"/>
          <w:lang w:val="en-US" w:eastAsia="zh-CN"/>
        </w:rPr>
        <w:t>1.历史沿革</w:t>
      </w:r>
    </w:p>
    <w:p>
      <w:pPr>
        <w:ind w:firstLine="480"/>
        <w:rPr>
          <w:rFonts w:hint="eastAsia"/>
        </w:rPr>
      </w:pPr>
      <w:r>
        <w:rPr>
          <w:rFonts w:hint="eastAsia"/>
        </w:rPr>
        <w:t>应用经济学一级学科硕士学位授权点前身为产业经济学二级学科硕士学位授权点，设立于1999年，是广东省较早</w:t>
      </w:r>
      <w:r>
        <w:rPr>
          <w:rFonts w:hint="eastAsia"/>
          <w:lang w:val="en-US" w:eastAsia="zh-Hans"/>
        </w:rPr>
        <w:t>拥有</w:t>
      </w:r>
      <w:r>
        <w:rPr>
          <w:rFonts w:hint="eastAsia"/>
        </w:rPr>
        <w:t>产业经济学学科的研究生培养单位。设立伊始，产业经济学拥</w:t>
      </w:r>
      <w:r>
        <w:rPr>
          <w:rFonts w:hint="eastAsia"/>
          <w:lang w:val="en-US" w:eastAsia="zh-CN"/>
        </w:rPr>
        <w:t>有</w:t>
      </w:r>
      <w:r>
        <w:rPr>
          <w:rFonts w:hint="eastAsia"/>
        </w:rPr>
        <w:t>培养方向3个，招生规模约为每年8</w:t>
      </w:r>
      <w:r>
        <w:rPr>
          <w:rFonts w:hint="eastAsia"/>
          <w:color w:val="auto"/>
        </w:rPr>
        <w:t>人，指导教师7位，教学和研究团队教师15位。201</w:t>
      </w:r>
      <w:r>
        <w:rPr>
          <w:rFonts w:hint="eastAsia"/>
          <w:color w:val="auto"/>
          <w:lang w:val="en-US" w:eastAsia="zh-CN"/>
        </w:rPr>
        <w:t>1</w:t>
      </w:r>
      <w:r>
        <w:rPr>
          <w:rFonts w:hint="eastAsia"/>
          <w:color w:val="auto"/>
        </w:rPr>
        <w:t>年，获批设立应</w:t>
      </w:r>
      <w:r>
        <w:rPr>
          <w:rFonts w:hint="eastAsia"/>
        </w:rPr>
        <w:t>用经济学一级学科硕士学位授权点，下设产业经济学、区域经济学、金融学和国际贸易学4个二级学科。经过多年建设，应用经济学</w:t>
      </w:r>
      <w:r>
        <w:rPr>
          <w:rFonts w:hint="eastAsia"/>
          <w:lang w:val="en-US" w:eastAsia="zh-CN"/>
        </w:rPr>
        <w:t>学位</w:t>
      </w:r>
      <w:r>
        <w:rPr>
          <w:rFonts w:hint="eastAsia"/>
        </w:rPr>
        <w:t>点</w:t>
      </w:r>
      <w:r>
        <w:rPr>
          <w:rFonts w:hint="eastAsia"/>
          <w:lang w:val="en-US" w:eastAsia="zh-CN"/>
        </w:rPr>
        <w:t>打造了一支</w:t>
      </w:r>
      <w:r>
        <w:rPr>
          <w:rFonts w:hint="eastAsia"/>
        </w:rPr>
        <w:t>能对重大理论问题进行深层次研究、对重大现实问题开展快速决策应用研究的高素质团队，产出了一系列具有较高学术影响力、社会影响力、政策影响力的研究成果，得到</w:t>
      </w:r>
      <w:r>
        <w:rPr>
          <w:rFonts w:hint="eastAsia"/>
          <w:lang w:val="en-US" w:eastAsia="zh-CN"/>
        </w:rPr>
        <w:t>广东</w:t>
      </w:r>
      <w:r>
        <w:rPr>
          <w:rFonts w:hint="eastAsia"/>
        </w:rPr>
        <w:t>省委</w:t>
      </w:r>
      <w:r>
        <w:rPr>
          <w:rFonts w:hint="eastAsia"/>
          <w:lang w:eastAsia="zh-CN"/>
        </w:rPr>
        <w:t>、</w:t>
      </w:r>
      <w:r>
        <w:rPr>
          <w:rFonts w:hint="eastAsia"/>
        </w:rPr>
        <w:t>省政府和社会各界的认可，培养了一批德才兼备、学养深厚、广受欢迎的</w:t>
      </w:r>
      <w:r>
        <w:rPr>
          <w:rFonts w:hint="eastAsia"/>
          <w:lang w:val="en-US" w:eastAsia="zh-CN"/>
        </w:rPr>
        <w:t>复合型</w:t>
      </w:r>
      <w:r>
        <w:rPr>
          <w:rFonts w:hint="eastAsia"/>
        </w:rPr>
        <w:t>人才。</w:t>
      </w:r>
    </w:p>
    <w:p>
      <w:pPr>
        <w:pStyle w:val="5"/>
        <w:keepNext w:val="0"/>
        <w:keepLines w:val="0"/>
        <w:widowControl w:val="0"/>
        <w:ind w:firstLine="560" w:firstLineChars="200"/>
        <w:rPr>
          <w:rFonts w:hint="eastAsia" w:eastAsia="黑体"/>
          <w:lang w:val="en-US" w:eastAsia="zh-CN"/>
        </w:rPr>
      </w:pPr>
      <w:r>
        <w:rPr>
          <w:rFonts w:hint="eastAsia"/>
          <w:lang w:val="en-US" w:eastAsia="zh-CN"/>
        </w:rPr>
        <w:t>2.培养特色</w:t>
      </w:r>
    </w:p>
    <w:p>
      <w:pPr>
        <w:keepNext w:val="0"/>
        <w:keepLines w:val="0"/>
        <w:widowControl w:val="0"/>
        <w:ind w:firstLine="480" w:firstLineChars="200"/>
        <w:outlineLvl w:val="9"/>
        <w:rPr>
          <w:rFonts w:hint="eastAsia"/>
        </w:rPr>
      </w:pPr>
      <w:bookmarkStart w:id="14" w:name="_Toc8372"/>
      <w:r>
        <w:rPr>
          <w:rFonts w:hint="eastAsia"/>
          <w:lang w:val="en-US" w:eastAsia="zh-CN"/>
        </w:rPr>
        <w:t>本学位点历来</w:t>
      </w:r>
      <w:r>
        <w:rPr>
          <w:rFonts w:hint="eastAsia"/>
        </w:rPr>
        <w:t>非常重视研究生</w:t>
      </w:r>
      <w:r>
        <w:rPr>
          <w:rFonts w:hint="eastAsia"/>
          <w:lang w:val="en-US" w:eastAsia="zh-CN"/>
        </w:rPr>
        <w:t>综合</w:t>
      </w:r>
      <w:r>
        <w:rPr>
          <w:rFonts w:hint="eastAsia"/>
        </w:rPr>
        <w:t>能力的培养，在以理论为重点的课堂教学基础上，</w:t>
      </w:r>
      <w:r>
        <w:rPr>
          <w:rFonts w:hint="eastAsia"/>
          <w:color w:val="auto"/>
          <w:lang w:val="en-US" w:eastAsia="zh-Hans"/>
        </w:rPr>
        <w:t>推进</w:t>
      </w:r>
      <w:r>
        <w:rPr>
          <w:rFonts w:hint="eastAsia"/>
          <w:color w:val="auto"/>
        </w:rPr>
        <w:t>教学与研究融合</w:t>
      </w:r>
      <w:r>
        <w:rPr>
          <w:rFonts w:hint="default"/>
          <w:color w:val="auto"/>
        </w:rPr>
        <w:t>，</w:t>
      </w:r>
      <w:r>
        <w:rPr>
          <w:rFonts w:hint="eastAsia"/>
        </w:rPr>
        <w:t>强化研究生实务知识和</w:t>
      </w:r>
      <w:r>
        <w:rPr>
          <w:rFonts w:hint="eastAsia"/>
          <w:lang w:val="en-US" w:eastAsia="zh-CN"/>
        </w:rPr>
        <w:t>实操</w:t>
      </w:r>
      <w:r>
        <w:rPr>
          <w:rFonts w:hint="eastAsia"/>
          <w:lang w:val="en-US" w:eastAsia="zh-Hans"/>
        </w:rPr>
        <w:t>能力培养</w:t>
      </w:r>
      <w:r>
        <w:rPr>
          <w:rFonts w:hint="eastAsia"/>
        </w:rPr>
        <w:t>。</w:t>
      </w:r>
    </w:p>
    <w:p>
      <w:pPr>
        <w:keepNext w:val="0"/>
        <w:keepLines w:val="0"/>
        <w:widowControl w:val="0"/>
        <w:ind w:firstLine="480" w:firstLineChars="200"/>
        <w:jc w:val="both"/>
        <w:outlineLvl w:val="9"/>
        <w:rPr>
          <w:rFonts w:hint="default"/>
          <w:lang w:eastAsia="zh-Hans"/>
        </w:rPr>
      </w:pPr>
      <w:r>
        <w:rPr>
          <w:rFonts w:hint="eastAsia"/>
        </w:rPr>
        <w:t>一是</w:t>
      </w:r>
      <w:r>
        <w:rPr>
          <w:rFonts w:hint="eastAsia"/>
          <w:lang w:val="en-US" w:eastAsia="zh-Hans"/>
        </w:rPr>
        <w:t>鼓励</w:t>
      </w:r>
      <w:r>
        <w:rPr>
          <w:rFonts w:hint="eastAsia"/>
        </w:rPr>
        <w:t>研究生深度参与</w:t>
      </w:r>
      <w:r>
        <w:rPr>
          <w:rFonts w:hint="eastAsia"/>
          <w:lang w:val="en-US" w:eastAsia="zh-CN"/>
        </w:rPr>
        <w:t>省委省政府</w:t>
      </w:r>
      <w:r>
        <w:rPr>
          <w:rFonts w:hint="eastAsia"/>
        </w:rPr>
        <w:t>应用决策</w:t>
      </w:r>
      <w:r>
        <w:rPr>
          <w:rFonts w:hint="eastAsia"/>
          <w:lang w:val="en-US" w:eastAsia="zh-CN"/>
        </w:rPr>
        <w:t>咨询</w:t>
      </w:r>
      <w:r>
        <w:rPr>
          <w:rFonts w:hint="eastAsia"/>
        </w:rPr>
        <w:t>研究。广东省社会科学院</w:t>
      </w:r>
      <w:r>
        <w:rPr>
          <w:rFonts w:hint="eastAsia"/>
          <w:lang w:val="en-US" w:eastAsia="zh-Hans"/>
        </w:rPr>
        <w:t>瞄准</w:t>
      </w:r>
      <w:r>
        <w:rPr>
          <w:rFonts w:hint="eastAsia"/>
        </w:rPr>
        <w:t>“广东社科界研究阐释新思想的主力军，广东基础学科建设的省代表队，省委省政府最重要的新型智库”“三个新定位”，长期</w:t>
      </w:r>
      <w:r>
        <w:rPr>
          <w:rFonts w:hint="eastAsia"/>
          <w:lang w:val="en-US" w:eastAsia="zh-CN"/>
        </w:rPr>
        <w:t>开展</w:t>
      </w:r>
      <w:r>
        <w:rPr>
          <w:rFonts w:hint="eastAsia"/>
          <w:color w:val="auto"/>
        </w:rPr>
        <w:t>国家、省、市社科规划课题</w:t>
      </w:r>
      <w:r>
        <w:rPr>
          <w:rFonts w:hint="eastAsia"/>
          <w:color w:val="auto"/>
          <w:lang w:eastAsia="zh-CN"/>
        </w:rPr>
        <w:t>、</w:t>
      </w:r>
      <w:r>
        <w:rPr>
          <w:rFonts w:hint="eastAsia"/>
          <w:color w:val="auto"/>
          <w:lang w:val="en-US" w:eastAsia="zh-CN"/>
        </w:rPr>
        <w:t>蓝皮书</w:t>
      </w:r>
      <w:r>
        <w:rPr>
          <w:rFonts w:hint="eastAsia"/>
          <w:color w:val="auto"/>
        </w:rPr>
        <w:t>以及</w:t>
      </w:r>
      <w:r>
        <w:rPr>
          <w:rFonts w:hint="eastAsia"/>
          <w:color w:val="auto"/>
          <w:lang w:val="en-US" w:eastAsia="zh-CN"/>
        </w:rPr>
        <w:t>省委省政府重大</w:t>
      </w:r>
      <w:r>
        <w:rPr>
          <w:rFonts w:hint="eastAsia"/>
        </w:rPr>
        <w:t>发展规划、政策设计和决策咨询</w:t>
      </w:r>
      <w:r>
        <w:rPr>
          <w:rFonts w:hint="eastAsia"/>
          <w:lang w:val="en-US" w:eastAsia="zh-Hans"/>
        </w:rPr>
        <w:t>研究</w:t>
      </w:r>
      <w:r>
        <w:rPr>
          <w:rFonts w:hint="eastAsia"/>
        </w:rPr>
        <w:t>，积极为广东</w:t>
      </w:r>
      <w:r>
        <w:rPr>
          <w:rFonts w:hint="eastAsia"/>
          <w:lang w:val="en-US" w:eastAsia="zh-CN"/>
        </w:rPr>
        <w:t>经济</w:t>
      </w:r>
      <w:r>
        <w:rPr>
          <w:rFonts w:hint="eastAsia"/>
        </w:rPr>
        <w:t>社会改革发展出谋划策。依托</w:t>
      </w:r>
      <w:r>
        <w:rPr>
          <w:rFonts w:hint="eastAsia"/>
          <w:lang w:val="en-US" w:eastAsia="zh-Hans"/>
        </w:rPr>
        <w:t>新型智库优势</w:t>
      </w:r>
      <w:r>
        <w:rPr>
          <w:rFonts w:hint="default"/>
          <w:lang w:eastAsia="zh-Hans"/>
        </w:rPr>
        <w:t>，</w:t>
      </w:r>
      <w:r>
        <w:rPr>
          <w:rFonts w:hint="eastAsia"/>
        </w:rPr>
        <w:t>本学位点研究生</w:t>
      </w:r>
      <w:r>
        <w:rPr>
          <w:rFonts w:hint="eastAsia"/>
          <w:lang w:val="en-US" w:eastAsia="zh-Hans"/>
        </w:rPr>
        <w:t>在导师的</w:t>
      </w:r>
      <w:r>
        <w:rPr>
          <w:rFonts w:hint="eastAsia"/>
          <w:lang w:eastAsia="zh-Hans"/>
        </w:rPr>
        <w:t>带领</w:t>
      </w:r>
      <w:r>
        <w:rPr>
          <w:rFonts w:hint="eastAsia"/>
          <w:lang w:val="en-US" w:eastAsia="zh-Hans"/>
        </w:rPr>
        <w:t>下</w:t>
      </w:r>
      <w:r>
        <w:rPr>
          <w:rFonts w:hint="default"/>
          <w:lang w:eastAsia="zh-Hans"/>
        </w:rPr>
        <w:t>，</w:t>
      </w:r>
      <w:r>
        <w:rPr>
          <w:rFonts w:hint="eastAsia"/>
          <w:lang w:val="en-US" w:eastAsia="zh-Hans"/>
        </w:rPr>
        <w:t>有更多机会和充足条件参与相关应用决策研究</w:t>
      </w:r>
      <w:r>
        <w:rPr>
          <w:rFonts w:hint="default"/>
          <w:lang w:eastAsia="zh-Hans"/>
        </w:rPr>
        <w:t>，</w:t>
      </w:r>
      <w:r>
        <w:rPr>
          <w:rFonts w:hint="eastAsia"/>
          <w:highlight w:val="none"/>
          <w:lang w:val="en-US" w:eastAsia="zh-CN"/>
        </w:rPr>
        <w:t>在学习</w:t>
      </w:r>
      <w:r>
        <w:rPr>
          <w:rFonts w:hint="eastAsia"/>
          <w:highlight w:val="none"/>
        </w:rPr>
        <w:t>过程</w:t>
      </w:r>
      <w:r>
        <w:rPr>
          <w:rFonts w:hint="eastAsia"/>
          <w:highlight w:val="none"/>
          <w:lang w:val="en-US" w:eastAsia="zh-CN"/>
        </w:rPr>
        <w:t>中不断提升解决实际问题的能力</w:t>
      </w:r>
      <w:r>
        <w:rPr>
          <w:rFonts w:hint="default"/>
        </w:rPr>
        <w:t>，</w:t>
      </w:r>
      <w:r>
        <w:rPr>
          <w:rFonts w:hint="eastAsia"/>
          <w:lang w:val="en-US" w:eastAsia="zh-Hans"/>
        </w:rPr>
        <w:t>同时也为下一步深化研究</w:t>
      </w:r>
      <w:r>
        <w:rPr>
          <w:rFonts w:hint="default"/>
          <w:lang w:eastAsia="zh-Hans"/>
        </w:rPr>
        <w:t>、</w:t>
      </w:r>
      <w:r>
        <w:rPr>
          <w:rFonts w:hint="eastAsia"/>
          <w:lang w:val="en-US" w:eastAsia="zh-Hans"/>
        </w:rPr>
        <w:t>走向工作岗位奠定扎实基础</w:t>
      </w:r>
      <w:r>
        <w:rPr>
          <w:rFonts w:hint="default"/>
          <w:lang w:eastAsia="zh-Hans"/>
        </w:rPr>
        <w:t>。</w:t>
      </w:r>
    </w:p>
    <w:p>
      <w:pPr>
        <w:ind w:firstLine="480" w:firstLineChars="200"/>
        <w:jc w:val="both"/>
        <w:outlineLvl w:val="9"/>
        <w:rPr>
          <w:rFonts w:hint="eastAsia"/>
          <w:lang w:val="en-US" w:eastAsia="zh-CN"/>
        </w:rPr>
      </w:pPr>
      <w:r>
        <w:rPr>
          <w:rFonts w:hint="eastAsia"/>
          <w:lang w:val="en-US" w:eastAsia="zh-CN"/>
        </w:rPr>
        <w:t>二是支持研究生</w:t>
      </w:r>
      <w:r>
        <w:rPr>
          <w:rFonts w:hint="eastAsia"/>
          <w:lang w:val="en-US" w:eastAsia="zh-Hans"/>
        </w:rPr>
        <w:t>积极</w:t>
      </w:r>
      <w:r>
        <w:rPr>
          <w:rFonts w:hint="eastAsia"/>
          <w:lang w:val="en-US" w:eastAsia="zh-CN"/>
        </w:rPr>
        <w:t>参与各类地方政府委托课题调研。本学位点</w:t>
      </w:r>
      <w:r>
        <w:rPr>
          <w:rFonts w:hint="eastAsia"/>
          <w:lang w:val="en-US" w:eastAsia="zh-Hans"/>
        </w:rPr>
        <w:t>始终坚持</w:t>
      </w:r>
      <w:r>
        <w:rPr>
          <w:rFonts w:hint="eastAsia" w:ascii="Times New Roman" w:hAnsi="Times New Roman" w:eastAsia="宋体" w:cs="Times New Roman"/>
          <w:color w:val="000000"/>
          <w:kern w:val="2"/>
          <w:sz w:val="24"/>
          <w:szCs w:val="22"/>
          <w:lang w:val="en-US" w:eastAsia="zh-CN" w:bidi="ar"/>
        </w:rPr>
        <w:t>理论与实践紧密结合</w:t>
      </w:r>
      <w:r>
        <w:rPr>
          <w:rFonts w:hint="eastAsia" w:ascii="Times New Roman" w:hAnsi="Times New Roman" w:eastAsia="宋体" w:cs="Times New Roman"/>
          <w:color w:val="000000"/>
          <w:kern w:val="2"/>
          <w:sz w:val="24"/>
          <w:szCs w:val="22"/>
          <w:lang w:eastAsia="zh-CN" w:bidi="ar"/>
        </w:rPr>
        <w:t>、</w:t>
      </w:r>
      <w:r>
        <w:rPr>
          <w:rFonts w:hint="eastAsia"/>
          <w:lang w:val="en-US" w:eastAsia="zh-Hans"/>
        </w:rPr>
        <w:t>培养实</w:t>
      </w:r>
      <w:r>
        <w:rPr>
          <w:rFonts w:hint="eastAsia"/>
          <w:lang w:val="en-US" w:eastAsia="zh-CN"/>
        </w:rPr>
        <w:t>用型高级人才</w:t>
      </w:r>
      <w:r>
        <w:rPr>
          <w:rFonts w:hint="eastAsia" w:ascii="Times New Roman" w:hAnsi="Times New Roman" w:eastAsia="宋体" w:cs="Times New Roman"/>
          <w:color w:val="000000"/>
          <w:kern w:val="2"/>
          <w:sz w:val="24"/>
          <w:szCs w:val="22"/>
          <w:lang w:val="en-US" w:eastAsia="zh-CN" w:bidi="ar"/>
        </w:rPr>
        <w:t>的一贯学风，充分发挥</w:t>
      </w:r>
      <w:r>
        <w:rPr>
          <w:rFonts w:hint="eastAsia" w:ascii="Times New Roman" w:hAnsi="Times New Roman" w:eastAsia="宋体" w:cs="Times New Roman"/>
          <w:color w:val="000000"/>
          <w:kern w:val="2"/>
          <w:sz w:val="24"/>
          <w:szCs w:val="22"/>
          <w:lang w:val="en-US" w:eastAsia="zh-Hans" w:bidi="ar"/>
        </w:rPr>
        <w:t>社科院</w:t>
      </w:r>
      <w:r>
        <w:rPr>
          <w:rFonts w:hint="eastAsia" w:ascii="Times New Roman" w:hAnsi="Times New Roman" w:eastAsia="宋体" w:cs="Times New Roman"/>
          <w:color w:val="000000"/>
          <w:kern w:val="2"/>
          <w:sz w:val="24"/>
          <w:szCs w:val="22"/>
          <w:lang w:val="en-US" w:eastAsia="zh-CN" w:bidi="ar"/>
        </w:rPr>
        <w:t>资源优势，</w:t>
      </w:r>
      <w:r>
        <w:rPr>
          <w:rFonts w:hint="eastAsia"/>
          <w:lang w:val="en-US" w:eastAsia="zh-Hans"/>
        </w:rPr>
        <w:t>通过激励</w:t>
      </w:r>
      <w:r>
        <w:rPr>
          <w:rFonts w:hint="eastAsia"/>
          <w:lang w:val="en-US" w:eastAsia="zh-CN"/>
        </w:rPr>
        <w:t>研究生</w:t>
      </w:r>
      <w:r>
        <w:rPr>
          <w:rFonts w:hint="eastAsia"/>
          <w:lang w:eastAsia="zh-CN"/>
        </w:rPr>
        <w:t>积极参与导师主持的</w:t>
      </w:r>
      <w:r>
        <w:rPr>
          <w:rFonts w:hint="eastAsia"/>
          <w:lang w:val="en-US" w:eastAsia="zh-CN"/>
        </w:rPr>
        <w:t>各类</w:t>
      </w:r>
      <w:r>
        <w:rPr>
          <w:rFonts w:hint="eastAsia"/>
        </w:rPr>
        <w:t>横向</w:t>
      </w:r>
      <w:r>
        <w:rPr>
          <w:rFonts w:hint="eastAsia"/>
          <w:lang w:eastAsia="zh-CN"/>
        </w:rPr>
        <w:t>科研项目，</w:t>
      </w:r>
      <w:r>
        <w:rPr>
          <w:rFonts w:hint="eastAsia"/>
          <w:lang w:val="en-US" w:eastAsia="zh-CN"/>
        </w:rPr>
        <w:t>实地调研熟悉省情，</w:t>
      </w:r>
      <w:r>
        <w:rPr>
          <w:rFonts w:hint="eastAsia"/>
          <w:lang w:val="en-US" w:eastAsia="zh-Hans"/>
        </w:rPr>
        <w:t>提升学生</w:t>
      </w:r>
      <w:r>
        <w:rPr>
          <w:rFonts w:hint="eastAsia"/>
          <w:lang w:val="en-US" w:eastAsia="zh-CN"/>
        </w:rPr>
        <w:t>毕业后能够独立从事</w:t>
      </w:r>
      <w:r>
        <w:rPr>
          <w:rFonts w:hint="eastAsia"/>
          <w:lang w:val="en-US" w:eastAsia="zh-Hans"/>
        </w:rPr>
        <w:t>相关实践</w:t>
      </w:r>
      <w:r>
        <w:rPr>
          <w:rFonts w:hint="eastAsia"/>
          <w:lang w:val="en-US" w:eastAsia="zh-CN"/>
        </w:rPr>
        <w:t>研究</w:t>
      </w:r>
      <w:r>
        <w:rPr>
          <w:rFonts w:hint="eastAsia"/>
          <w:lang w:val="en-US" w:eastAsia="zh-Hans"/>
        </w:rPr>
        <w:t>的综合素养</w:t>
      </w:r>
      <w:r>
        <w:rPr>
          <w:rFonts w:hint="eastAsia"/>
          <w:lang w:val="en-US" w:eastAsia="zh-CN"/>
        </w:rPr>
        <w:t>。</w:t>
      </w:r>
      <w:r>
        <w:rPr>
          <w:rFonts w:hint="eastAsia"/>
          <w:lang w:eastAsia="zh-CN"/>
        </w:rPr>
        <w:t>2023</w:t>
      </w:r>
      <w:r>
        <w:rPr>
          <w:rFonts w:hint="eastAsia"/>
          <w:lang w:val="en-US" w:eastAsia="zh-Hans"/>
        </w:rPr>
        <w:t>年</w:t>
      </w:r>
      <w:r>
        <w:rPr>
          <w:rFonts w:hint="eastAsia"/>
          <w:lang w:eastAsia="zh-Hans"/>
        </w:rPr>
        <w:t>，</w:t>
      </w:r>
      <w:r>
        <w:rPr>
          <w:rFonts w:hint="eastAsia"/>
          <w:lang w:val="en-US" w:eastAsia="zh-Hans"/>
        </w:rPr>
        <w:t>学位点</w:t>
      </w:r>
      <w:r>
        <w:rPr>
          <w:rFonts w:hint="eastAsia"/>
          <w:lang w:val="en-US" w:eastAsia="zh-CN"/>
        </w:rPr>
        <w:t>导师</w:t>
      </w:r>
      <w:r>
        <w:rPr>
          <w:rFonts w:hint="eastAsia"/>
          <w:lang w:val="en-US" w:eastAsia="zh-Hans"/>
        </w:rPr>
        <w:t>先后</w:t>
      </w:r>
      <w:r>
        <w:rPr>
          <w:rFonts w:hint="eastAsia"/>
          <w:lang w:val="en-US" w:eastAsia="zh-CN"/>
        </w:rPr>
        <w:t>带领学生参与了湛江</w:t>
      </w:r>
      <w:r>
        <w:rPr>
          <w:rFonts w:hint="eastAsia"/>
          <w:color w:val="auto"/>
          <w:lang w:val="en-US" w:eastAsia="zh-CN"/>
        </w:rPr>
        <w:t>、汕尾</w:t>
      </w:r>
      <w:r>
        <w:rPr>
          <w:rFonts w:hint="eastAsia"/>
          <w:color w:val="auto"/>
        </w:rPr>
        <w:t>、</w:t>
      </w:r>
      <w:r>
        <w:rPr>
          <w:rFonts w:hint="eastAsia"/>
          <w:color w:val="auto"/>
          <w:lang w:val="en-US" w:eastAsia="zh-CN"/>
        </w:rPr>
        <w:t>云浮、阳江</w:t>
      </w:r>
      <w:r>
        <w:rPr>
          <w:rFonts w:hint="eastAsia"/>
          <w:lang w:val="en-US" w:eastAsia="zh-CN"/>
        </w:rPr>
        <w:t>等各地方政府委托的课题调研。同时，依托社科院在省内建立的10多个研究基地、调研基地（含10家分院），以及覆盖4个调研基地的200个家庭、80个社区的省情调研网，开展调研，为学生提供多种类型的实习、调研和交流机会</w:t>
      </w:r>
      <w:r>
        <w:rPr>
          <w:rFonts w:hint="eastAsia"/>
          <w:lang w:eastAsia="zh-CN"/>
        </w:rPr>
        <w:t>，</w:t>
      </w:r>
      <w:r>
        <w:rPr>
          <w:rFonts w:hint="eastAsia"/>
          <w:lang w:val="en-US" w:eastAsia="zh-CN"/>
        </w:rPr>
        <w:t>促进理论学习向实践运用转化。</w:t>
      </w:r>
    </w:p>
    <w:p>
      <w:pPr>
        <w:ind w:firstLine="480"/>
        <w:jc w:val="left"/>
        <w:outlineLvl w:val="9"/>
        <w:rPr>
          <w:rFonts w:hint="eastAsia"/>
        </w:rPr>
      </w:pPr>
      <w:r>
        <w:rPr>
          <w:rFonts w:hint="eastAsia"/>
          <w:lang w:val="en-US" w:eastAsia="zh-CN"/>
        </w:rPr>
        <w:t>三是</w:t>
      </w:r>
      <w:r>
        <w:rPr>
          <w:rFonts w:hint="eastAsia"/>
          <w:lang w:val="en-US" w:eastAsia="zh-Hans"/>
        </w:rPr>
        <w:t>引导</w:t>
      </w:r>
      <w:r>
        <w:rPr>
          <w:rFonts w:hint="eastAsia"/>
          <w:lang w:val="en-US" w:eastAsia="zh-CN"/>
        </w:rPr>
        <w:t>研究生</w:t>
      </w:r>
      <w:r>
        <w:rPr>
          <w:rFonts w:hint="eastAsia"/>
          <w:lang w:val="en-US" w:eastAsia="zh-Hans"/>
        </w:rPr>
        <w:t>大力</w:t>
      </w:r>
      <w:r>
        <w:rPr>
          <w:rFonts w:hint="eastAsia"/>
          <w:lang w:val="en-US" w:eastAsia="zh-CN"/>
        </w:rPr>
        <w:t>开展国内外学术交流。一方面，</w:t>
      </w:r>
      <w:r>
        <w:rPr>
          <w:rFonts w:hint="eastAsia"/>
          <w:lang w:eastAsia="zh-CN"/>
        </w:rPr>
        <w:t>鼓励研究生以文赴会</w:t>
      </w:r>
      <w:r>
        <w:rPr>
          <w:rFonts w:hint="default"/>
          <w:lang w:eastAsia="zh-CN"/>
        </w:rPr>
        <w:t>，</w:t>
      </w:r>
      <w:r>
        <w:rPr>
          <w:rFonts w:hint="eastAsia"/>
          <w:lang w:val="en-US" w:eastAsia="zh-Hans"/>
        </w:rPr>
        <w:t>积极</w:t>
      </w:r>
      <w:r>
        <w:rPr>
          <w:rFonts w:hint="eastAsia"/>
          <w:lang w:eastAsia="zh-CN"/>
        </w:rPr>
        <w:t>参加国内外</w:t>
      </w:r>
      <w:r>
        <w:rPr>
          <w:rFonts w:hint="eastAsia"/>
        </w:rPr>
        <w:t>各级各类学术活动、</w:t>
      </w:r>
      <w:r>
        <w:rPr>
          <w:rFonts w:hint="eastAsia"/>
          <w:lang w:eastAsia="zh-CN"/>
        </w:rPr>
        <w:t>学术会议，</w:t>
      </w:r>
      <w:r>
        <w:rPr>
          <w:rFonts w:hint="eastAsia"/>
          <w:color w:val="auto"/>
          <w:lang w:val="en-US" w:eastAsia="zh-Hans"/>
        </w:rPr>
        <w:t>丰富</w:t>
      </w:r>
      <w:r>
        <w:rPr>
          <w:rFonts w:hint="eastAsia"/>
          <w:color w:val="auto"/>
        </w:rPr>
        <w:t>学术交流</w:t>
      </w:r>
      <w:r>
        <w:rPr>
          <w:rFonts w:hint="default"/>
          <w:color w:val="auto"/>
        </w:rPr>
        <w:t>、</w:t>
      </w:r>
      <w:r>
        <w:rPr>
          <w:rFonts w:hint="eastAsia"/>
        </w:rPr>
        <w:t>开拓学术眼界、把握理论前沿</w:t>
      </w:r>
      <w:r>
        <w:rPr>
          <w:rFonts w:hint="default"/>
        </w:rPr>
        <w:t>，</w:t>
      </w:r>
      <w:r>
        <w:rPr>
          <w:rFonts w:hint="eastAsia"/>
          <w:lang w:eastAsia="zh-Hans"/>
        </w:rPr>
        <w:t>激发学术思考，提升学术素养</w:t>
      </w:r>
      <w:r>
        <w:rPr>
          <w:rFonts w:hint="eastAsia"/>
          <w:lang w:eastAsia="zh-CN"/>
        </w:rPr>
        <w:t>；</w:t>
      </w:r>
      <w:r>
        <w:rPr>
          <w:rFonts w:hint="eastAsia"/>
          <w:lang w:val="en-US" w:eastAsia="zh-CN"/>
        </w:rPr>
        <w:t>另一方面，</w:t>
      </w:r>
      <w:r>
        <w:rPr>
          <w:rFonts w:hint="eastAsia"/>
          <w:lang w:eastAsia="zh-CN"/>
        </w:rPr>
        <w:t>鼓励研究生在有影响力的</w:t>
      </w:r>
      <w:r>
        <w:rPr>
          <w:rFonts w:hint="eastAsia"/>
          <w:lang w:val="en-US" w:eastAsia="zh-Hans"/>
        </w:rPr>
        <w:t>学术</w:t>
      </w:r>
      <w:r>
        <w:rPr>
          <w:rFonts w:hint="eastAsia"/>
          <w:lang w:eastAsia="zh-CN"/>
        </w:rPr>
        <w:t>刊物上发表论文，</w:t>
      </w:r>
      <w:r>
        <w:rPr>
          <w:rFonts w:hint="eastAsia"/>
          <w:lang w:val="en-US" w:eastAsia="zh-Hans"/>
        </w:rPr>
        <w:t>以此进一步</w:t>
      </w:r>
      <w:r>
        <w:rPr>
          <w:rFonts w:hint="eastAsia"/>
        </w:rPr>
        <w:t>规范研究方法</w:t>
      </w:r>
      <w:r>
        <w:rPr>
          <w:rFonts w:hint="default"/>
        </w:rPr>
        <w:t>、</w:t>
      </w:r>
      <w:r>
        <w:rPr>
          <w:rFonts w:hint="eastAsia"/>
          <w:lang w:val="en-US" w:eastAsia="zh-Hans"/>
        </w:rPr>
        <w:t>培养</w:t>
      </w:r>
      <w:r>
        <w:rPr>
          <w:rFonts w:hint="eastAsia"/>
        </w:rPr>
        <w:t>良好的学术习惯</w:t>
      </w:r>
      <w:r>
        <w:rPr>
          <w:rFonts w:hint="eastAsia"/>
          <w:lang w:eastAsia="zh-CN"/>
        </w:rPr>
        <w:t>，</w:t>
      </w:r>
      <w:r>
        <w:rPr>
          <w:rFonts w:hint="eastAsia"/>
          <w:color w:val="auto"/>
        </w:rPr>
        <w:t>加强研究生科研与创新能力的过程训练。</w:t>
      </w:r>
      <w:bookmarkEnd w:id="14"/>
    </w:p>
    <w:p>
      <w:pPr>
        <w:pStyle w:val="4"/>
        <w:keepNext w:val="0"/>
        <w:keepLines w:val="0"/>
        <w:widowControl w:val="0"/>
        <w:spacing w:before="157" w:beforeLines="50"/>
        <w:ind w:left="0" w:firstLine="602" w:firstLineChars="200"/>
        <w:rPr>
          <w:rFonts w:hint="eastAsia"/>
        </w:rPr>
      </w:pPr>
      <w:bookmarkStart w:id="15" w:name="_Toc5995"/>
      <w:bookmarkStart w:id="16" w:name="_Toc101036322"/>
      <w:bookmarkStart w:id="17" w:name="_Toc21024"/>
      <w:bookmarkStart w:id="18" w:name="_Toc26645"/>
      <w:r>
        <w:rPr>
          <w:rFonts w:hint="eastAsia"/>
        </w:rPr>
        <w:t>（二）研究生培养目标</w:t>
      </w:r>
      <w:bookmarkEnd w:id="15"/>
      <w:bookmarkEnd w:id="16"/>
      <w:r>
        <w:rPr>
          <w:rFonts w:hint="eastAsia"/>
          <w:lang w:val="en-US" w:eastAsia="zh-CN"/>
        </w:rPr>
        <w:t>和方向</w:t>
      </w:r>
      <w:bookmarkEnd w:id="17"/>
      <w:bookmarkEnd w:id="18"/>
    </w:p>
    <w:p>
      <w:pPr>
        <w:pStyle w:val="5"/>
        <w:keepNext w:val="0"/>
        <w:keepLines w:val="0"/>
        <w:widowControl w:val="0"/>
        <w:suppressLineNumbers w:val="0"/>
        <w:ind w:left="0" w:firstLine="560" w:firstLineChars="200"/>
        <w:jc w:val="left"/>
        <w:rPr>
          <w:rFonts w:hint="eastAsia" w:ascii="Times New Roman" w:hAnsi="Times New Roman" w:cs="Times New Roman"/>
          <w:lang w:val="en-US" w:eastAsia="zh-Hans"/>
        </w:rPr>
      </w:pPr>
      <w:r>
        <w:rPr>
          <w:rFonts w:hint="eastAsia" w:ascii="Times New Roman" w:hAnsi="Times New Roman" w:cs="Times New Roman"/>
        </w:rPr>
        <w:t>1</w:t>
      </w:r>
      <w:r>
        <w:rPr>
          <w:rFonts w:hint="eastAsia" w:ascii="Times New Roman" w:hAnsi="Times New Roman" w:cs="Times New Roman"/>
          <w:lang w:val="en-US" w:eastAsia="zh-Hans"/>
        </w:rPr>
        <w:t>.培养目标</w:t>
      </w:r>
    </w:p>
    <w:p>
      <w:pPr>
        <w:keepNext w:val="0"/>
        <w:keepLines w:val="0"/>
        <w:widowControl/>
        <w:suppressLineNumbers w:val="0"/>
        <w:ind w:firstLine="480"/>
        <w:jc w:val="both"/>
        <w:rPr>
          <w:rFonts w:hint="eastAsia" w:ascii="Times New Roman" w:hAnsi="Times New Roman" w:cs="Times New Roman"/>
        </w:rPr>
      </w:pPr>
      <w:r>
        <w:rPr>
          <w:rFonts w:hint="eastAsia" w:ascii="Times New Roman" w:hAnsi="Times New Roman" w:cs="Times New Roman"/>
        </w:rPr>
        <w:t>本学位点致力于</w:t>
      </w:r>
      <w:r>
        <w:rPr>
          <w:rFonts w:hint="eastAsia" w:ascii="Times New Roman" w:hAnsi="Times New Roman" w:eastAsia="宋体" w:cs="Times New Roman"/>
          <w:color w:val="auto"/>
          <w:kern w:val="2"/>
          <w:sz w:val="24"/>
          <w:szCs w:val="22"/>
          <w:lang w:val="en-US" w:eastAsia="zh-CN" w:bidi="ar"/>
        </w:rPr>
        <w:t>“立足</w:t>
      </w:r>
      <w:r>
        <w:rPr>
          <w:rFonts w:hint="eastAsia" w:ascii="Times New Roman" w:hAnsi="Times New Roman" w:eastAsia="宋体" w:cs="Times New Roman"/>
          <w:color w:val="auto"/>
          <w:kern w:val="2"/>
          <w:sz w:val="24"/>
          <w:szCs w:val="22"/>
          <w:lang w:val="en-US" w:eastAsia="zh-Hans" w:bidi="ar"/>
        </w:rPr>
        <w:t>广东</w:t>
      </w:r>
      <w:r>
        <w:rPr>
          <w:rFonts w:hint="eastAsia" w:ascii="Times New Roman" w:hAnsi="Times New Roman" w:eastAsia="宋体" w:cs="Times New Roman"/>
          <w:color w:val="auto"/>
          <w:kern w:val="2"/>
          <w:sz w:val="24"/>
          <w:szCs w:val="22"/>
          <w:lang w:val="en-US" w:eastAsia="zh-CN" w:bidi="ar"/>
        </w:rPr>
        <w:t>，面向全国”</w:t>
      </w:r>
      <w:r>
        <w:rPr>
          <w:rFonts w:hint="eastAsia" w:ascii="Times New Roman" w:hAnsi="Times New Roman" w:eastAsia="宋体" w:cs="Times New Roman"/>
          <w:color w:val="auto"/>
          <w:kern w:val="2"/>
          <w:sz w:val="24"/>
          <w:szCs w:val="22"/>
          <w:lang w:eastAsia="zh-CN" w:bidi="ar"/>
        </w:rPr>
        <w:t>，</w:t>
      </w:r>
      <w:r>
        <w:rPr>
          <w:rFonts w:hint="eastAsia" w:ascii="Times New Roman" w:hAnsi="Times New Roman" w:cs="Times New Roman"/>
        </w:rPr>
        <w:t>培养适应我国社会主义</w:t>
      </w:r>
      <w:r>
        <w:rPr>
          <w:rFonts w:hint="eastAsia"/>
        </w:rPr>
        <w:t>现代化</w:t>
      </w:r>
      <w:r>
        <w:rPr>
          <w:rFonts w:hint="eastAsia" w:ascii="Times New Roman" w:hAnsi="Times New Roman" w:cs="Times New Roman"/>
        </w:rPr>
        <w:t>建设需要，适应政府部门、高等院校、科研机构和各类企事业单位需求的</w:t>
      </w:r>
      <w:r>
        <w:rPr>
          <w:rFonts w:hint="eastAsia" w:ascii="Times New Roman" w:hAnsi="Times New Roman" w:eastAsia="宋体" w:cs="Times New Roman"/>
          <w:color w:val="auto"/>
          <w:kern w:val="2"/>
          <w:sz w:val="24"/>
          <w:szCs w:val="22"/>
          <w:lang w:val="en-US" w:eastAsia="zh-CN" w:bidi="ar"/>
        </w:rPr>
        <w:t>应用型人才</w:t>
      </w:r>
      <w:r>
        <w:rPr>
          <w:rFonts w:hint="eastAsia" w:ascii="Times New Roman" w:hAnsi="Times New Roman" w:cs="Times New Roman"/>
        </w:rPr>
        <w:t>。具体培养目标如下：</w:t>
      </w:r>
    </w:p>
    <w:p>
      <w:pPr>
        <w:keepNext w:val="0"/>
        <w:keepLines w:val="0"/>
        <w:widowControl/>
        <w:suppressLineNumbers w:val="0"/>
        <w:ind w:firstLine="480" w:firstLineChars="0"/>
        <w:jc w:val="both"/>
      </w:pPr>
      <w:r>
        <w:rPr>
          <w:rFonts w:hint="eastAsia" w:ascii="Times New Roman" w:hAnsi="Times New Roman" w:cs="Times New Roman"/>
        </w:rPr>
        <w:t>（1）践行习近平新时代中国特色社会主义思想，拥护中国共产党的领导，</w:t>
      </w:r>
      <w:r>
        <w:rPr>
          <w:rFonts w:hint="eastAsia" w:ascii="Times New Roman" w:hAnsi="Times New Roman" w:cs="Times New Roman"/>
          <w:lang w:val="en-US" w:eastAsia="zh-CN"/>
        </w:rPr>
        <w:t>有良好的政治素质和道德品质，</w:t>
      </w:r>
      <w:r>
        <w:rPr>
          <w:rFonts w:hint="eastAsia" w:ascii="Times New Roman" w:hAnsi="Times New Roman" w:cs="Times New Roman"/>
        </w:rPr>
        <w:t>热爱祖国，遵纪守法，学风严谨、品德良好，善于与人合作，具有较强的事业心、开拓进取精神</w:t>
      </w:r>
      <w:r>
        <w:rPr>
          <w:rFonts w:hint="eastAsia" w:ascii="Times New Roman" w:hAnsi="Times New Roman" w:cs="Times New Roman"/>
          <w:lang w:val="en-US" w:eastAsia="zh-Hans"/>
        </w:rPr>
        <w:t>和</w:t>
      </w:r>
      <w:r>
        <w:rPr>
          <w:rFonts w:hint="eastAsia" w:ascii="Times New Roman" w:hAnsi="Times New Roman" w:eastAsia="宋体" w:cs="Times New Roman"/>
          <w:color w:val="auto"/>
          <w:kern w:val="2"/>
          <w:sz w:val="24"/>
          <w:szCs w:val="22"/>
          <w:lang w:val="en-US" w:eastAsia="zh-CN" w:bidi="ar"/>
        </w:rPr>
        <w:t>良好职业素养。</w:t>
      </w:r>
    </w:p>
    <w:p>
      <w:pPr>
        <w:keepNext w:val="0"/>
        <w:keepLines w:val="0"/>
        <w:widowControl/>
        <w:suppressLineNumbers w:val="0"/>
        <w:ind w:firstLine="480"/>
        <w:jc w:val="both"/>
        <w:rPr>
          <w:rFonts w:hint="eastAsia" w:ascii="宋体" w:hAnsi="宋体" w:cs="宋体"/>
        </w:rPr>
      </w:pPr>
      <w:r>
        <w:rPr>
          <w:rFonts w:hint="eastAsia" w:ascii="Times New Roman" w:hAnsi="Times New Roman" w:cs="Times New Roman"/>
        </w:rPr>
        <w:t>（2）掌握坚实的应用经济学基础理论和系统的专业知识，熟悉所从事研究领域中科学技术的发展动向和前沿，熟练地应用专业理论和知识研究解决经济发展中的实际问题；具备创新能力和从事科学研究的能力；熟练地掌握一门外语，能够应用该语言阅读本专业相关文献资料。</w:t>
      </w:r>
    </w:p>
    <w:p>
      <w:pPr>
        <w:widowControl/>
        <w:overflowPunct/>
        <w:adjustRightInd/>
        <w:snapToGrid/>
        <w:ind w:firstLine="0"/>
        <w:rPr>
          <w:rFonts w:hint="eastAsia"/>
        </w:rPr>
      </w:pPr>
      <w:r>
        <w:rPr>
          <w:rFonts w:hint="eastAsia" w:ascii="宋体" w:hAnsi="宋体" w:cs="宋体"/>
        </w:rPr>
        <w:t>（3）身心健康，德、智、体</w:t>
      </w:r>
      <w:r>
        <w:rPr>
          <w:rFonts w:hint="default" w:ascii="宋体" w:hAnsi="宋体" w:cs="宋体"/>
        </w:rPr>
        <w:t>、</w:t>
      </w:r>
      <w:r>
        <w:rPr>
          <w:rFonts w:ascii="宋体" w:hAnsi="宋体" w:eastAsia="宋体" w:cs="宋体"/>
          <w:color w:val="000000"/>
          <w:kern w:val="0"/>
          <w:sz w:val="24"/>
          <w:szCs w:val="24"/>
          <w:lang w:val="en-US" w:eastAsia="zh-CN" w:bidi="ar"/>
        </w:rPr>
        <w:t>美</w:t>
      </w:r>
      <w:r>
        <w:rPr>
          <w:rFonts w:ascii="宋体" w:hAnsi="宋体" w:eastAsia="宋体" w:cs="宋体"/>
          <w:color w:val="000000"/>
          <w:kern w:val="0"/>
          <w:sz w:val="24"/>
          <w:szCs w:val="24"/>
          <w:lang w:eastAsia="zh-CN" w:bidi="ar"/>
        </w:rPr>
        <w:t>、</w:t>
      </w:r>
      <w:r>
        <w:rPr>
          <w:rFonts w:ascii="宋体" w:hAnsi="宋体" w:eastAsia="宋体" w:cs="宋体"/>
          <w:color w:val="000000"/>
          <w:kern w:val="0"/>
          <w:sz w:val="24"/>
          <w:szCs w:val="24"/>
          <w:lang w:val="en-US" w:eastAsia="zh-CN" w:bidi="ar"/>
        </w:rPr>
        <w:t>劳</w:t>
      </w:r>
      <w:r>
        <w:rPr>
          <w:rFonts w:hint="eastAsia" w:ascii="宋体" w:hAnsi="宋体" w:cs="宋体"/>
        </w:rPr>
        <w:t>全面发展，具备终身学习能力、科学研究能力、学术交流能力，</w:t>
      </w:r>
      <w:r>
        <w:rPr>
          <w:rFonts w:hint="eastAsia" w:ascii="宋体" w:hAnsi="宋体" w:cs="宋体"/>
          <w:lang w:val="en-US" w:eastAsia="zh-Hans"/>
        </w:rPr>
        <w:t>拥有</w:t>
      </w:r>
      <w:r>
        <w:rPr>
          <w:rFonts w:hint="eastAsia" w:ascii="宋体" w:hAnsi="宋体" w:cs="宋体"/>
        </w:rPr>
        <w:t>良好的综合素质。</w:t>
      </w:r>
    </w:p>
    <w:p>
      <w:pPr>
        <w:pStyle w:val="5"/>
        <w:ind w:firstLine="560" w:firstLineChars="200"/>
        <w:rPr>
          <w:rFonts w:hint="eastAsia"/>
          <w:lang w:val="en-US" w:eastAsia="zh-Hans"/>
        </w:rPr>
      </w:pPr>
      <w:r>
        <w:rPr>
          <w:rFonts w:hint="default"/>
        </w:rPr>
        <w:t>2</w:t>
      </w:r>
      <w:r>
        <w:rPr>
          <w:rFonts w:hint="eastAsia"/>
          <w:lang w:val="en-US" w:eastAsia="zh-Hans"/>
        </w:rPr>
        <w:t>.二级学科培养方向</w:t>
      </w:r>
    </w:p>
    <w:p>
      <w:pPr>
        <w:ind w:firstLine="480"/>
        <w:rPr>
          <w:rFonts w:hint="eastAsia"/>
        </w:rPr>
      </w:pPr>
      <w:r>
        <w:rPr>
          <w:rFonts w:hint="eastAsia"/>
        </w:rPr>
        <w:t>202</w:t>
      </w:r>
      <w:r>
        <w:rPr>
          <w:rFonts w:hint="eastAsia"/>
          <w:lang w:val="en-US" w:eastAsia="zh-CN"/>
        </w:rPr>
        <w:t>3</w:t>
      </w:r>
      <w:r>
        <w:rPr>
          <w:rFonts w:hint="eastAsia"/>
        </w:rPr>
        <w:t>年，应用经济学硕士点下设产业经济学、区域经济学、金融学、国际贸易学4个二级</w:t>
      </w:r>
      <w:r>
        <w:rPr>
          <w:rFonts w:hint="eastAsia"/>
          <w:color w:val="auto"/>
        </w:rPr>
        <w:t>学科</w:t>
      </w:r>
      <w:r>
        <w:rPr>
          <w:rFonts w:hint="eastAsia"/>
        </w:rPr>
        <w:t>。</w:t>
      </w:r>
    </w:p>
    <w:p>
      <w:pPr>
        <w:ind w:firstLine="480"/>
        <w:outlineLvl w:val="2"/>
        <w:rPr>
          <w:rFonts w:hint="default" w:eastAsia="宋体"/>
          <w:b/>
          <w:bCs/>
          <w:lang w:val="en-US" w:eastAsia="zh-CN"/>
        </w:rPr>
      </w:pPr>
      <w:r>
        <w:rPr>
          <w:rFonts w:hint="eastAsia"/>
          <w:b/>
          <w:bCs/>
          <w:lang w:eastAsia="zh-CN"/>
        </w:rPr>
        <w:t>（</w:t>
      </w:r>
      <w:r>
        <w:rPr>
          <w:rFonts w:hint="eastAsia"/>
          <w:b/>
          <w:bCs/>
          <w:lang w:val="en-US" w:eastAsia="zh-CN"/>
        </w:rPr>
        <w:t>1</w:t>
      </w:r>
      <w:r>
        <w:rPr>
          <w:rFonts w:hint="eastAsia"/>
          <w:b/>
          <w:bCs/>
          <w:lang w:eastAsia="zh-CN"/>
        </w:rPr>
        <w:t>）</w:t>
      </w:r>
      <w:r>
        <w:rPr>
          <w:rFonts w:hint="eastAsia"/>
          <w:b/>
          <w:bCs/>
          <w:lang w:val="en-US" w:eastAsia="zh-CN"/>
        </w:rPr>
        <w:t>产业经济学</w:t>
      </w:r>
    </w:p>
    <w:p>
      <w:pPr>
        <w:ind w:firstLine="480"/>
        <w:rPr>
          <w:rFonts w:hint="eastAsia"/>
        </w:rPr>
      </w:pPr>
      <w:r>
        <w:rPr>
          <w:rFonts w:hint="eastAsia"/>
        </w:rPr>
        <w:t>研究领域包括产业经济、技术创新与经济发展、旅游经济发展等。以</w:t>
      </w:r>
      <w:r>
        <w:rPr>
          <w:rFonts w:hint="eastAsia"/>
          <w:lang w:val="en-US" w:eastAsia="zh-CN"/>
        </w:rPr>
        <w:t>政治经济学</w:t>
      </w:r>
      <w:r>
        <w:rPr>
          <w:rFonts w:hint="eastAsia"/>
        </w:rPr>
        <w:t>、产业经济学、区域经济学、投资经济学、海洋经济学、网络经济学、</w:t>
      </w:r>
      <w:r>
        <w:rPr>
          <w:rFonts w:hint="eastAsia"/>
          <w:color w:val="auto"/>
          <w:lang w:val="en-US" w:eastAsia="zh-CN"/>
        </w:rPr>
        <w:t>环境经济学</w:t>
      </w:r>
      <w:r>
        <w:rPr>
          <w:rFonts w:hint="eastAsia"/>
          <w:color w:val="auto"/>
        </w:rPr>
        <w:t>、创</w:t>
      </w:r>
      <w:r>
        <w:rPr>
          <w:rFonts w:hint="eastAsia"/>
        </w:rPr>
        <w:t>新经济学</w:t>
      </w:r>
      <w:r>
        <w:rPr>
          <w:rFonts w:hint="eastAsia"/>
          <w:lang w:eastAsia="zh-CN"/>
        </w:rPr>
        <w:t>、</w:t>
      </w:r>
      <w:r>
        <w:rPr>
          <w:rFonts w:hint="eastAsia"/>
          <w:lang w:val="en-US" w:eastAsia="zh-CN"/>
        </w:rPr>
        <w:t>旅游经济学</w:t>
      </w:r>
      <w:r>
        <w:rPr>
          <w:rFonts w:hint="eastAsia"/>
        </w:rPr>
        <w:t>等理论为基础，以产业本身的发展规律、产业内部各企业之间相互作用关系的规律、产业与产业之间互动联系的规律以及产业在空间区域中的分布规律等为主要研究对象，关注我国特别是广东以实体经济为支撑的现代化产业体系建设，将产业发展与产业政策、产业集聚与区域发展、科技创新与产业发展等系统的产业经济理论融入中宏观层面的产业现实问题研究，在</w:t>
      </w:r>
      <w:r>
        <w:rPr>
          <w:rFonts w:hint="eastAsia"/>
          <w:lang w:val="en-US" w:eastAsia="zh-CN"/>
        </w:rPr>
        <w:t>新质生产力、</w:t>
      </w:r>
      <w:r>
        <w:rPr>
          <w:rFonts w:hint="eastAsia"/>
        </w:rPr>
        <w:t>海洋经济、旅游经济、</w:t>
      </w:r>
      <w:r>
        <w:rPr>
          <w:rFonts w:hint="eastAsia"/>
          <w:lang w:val="en-US" w:eastAsia="zh-CN"/>
        </w:rPr>
        <w:t>绿色经济、</w:t>
      </w:r>
      <w:r>
        <w:rPr>
          <w:rFonts w:hint="eastAsia"/>
        </w:rPr>
        <w:t>产业创新、网络经济等方面形成了较为鲜明的研究特色。形成了集理论教学与实际应用于一体的学科建设体系，致力于培养既具备中宏观产业眼光与市场意识，又具备卓越产业分析与政策分析能力的研究型人才。</w:t>
      </w:r>
    </w:p>
    <w:p>
      <w:pPr>
        <w:ind w:firstLine="480"/>
        <w:outlineLvl w:val="2"/>
        <w:rPr>
          <w:rFonts w:hint="default" w:eastAsia="宋体"/>
          <w:b/>
          <w:bCs/>
          <w:lang w:val="en-US" w:eastAsia="zh-CN"/>
        </w:rPr>
      </w:pPr>
      <w:r>
        <w:rPr>
          <w:rFonts w:hint="eastAsia"/>
          <w:b/>
          <w:bCs/>
          <w:lang w:eastAsia="zh-CN"/>
        </w:rPr>
        <w:t>（</w:t>
      </w:r>
      <w:r>
        <w:rPr>
          <w:rFonts w:hint="eastAsia"/>
          <w:b/>
          <w:bCs/>
          <w:lang w:val="en-US" w:eastAsia="zh-CN"/>
        </w:rPr>
        <w:t>2</w:t>
      </w:r>
      <w:r>
        <w:rPr>
          <w:rFonts w:hint="eastAsia"/>
          <w:b/>
          <w:bCs/>
          <w:lang w:eastAsia="zh-CN"/>
        </w:rPr>
        <w:t>）</w:t>
      </w:r>
      <w:r>
        <w:rPr>
          <w:rFonts w:hint="eastAsia"/>
          <w:b/>
          <w:bCs/>
          <w:lang w:val="en-US" w:eastAsia="zh-CN"/>
        </w:rPr>
        <w:t>区域经济学</w:t>
      </w:r>
    </w:p>
    <w:p>
      <w:pPr>
        <w:ind w:firstLine="480"/>
        <w:rPr>
          <w:rFonts w:hint="eastAsia"/>
        </w:rPr>
      </w:pPr>
      <w:r>
        <w:rPr>
          <w:rFonts w:hint="eastAsia"/>
        </w:rPr>
        <w:t>研究领域包括中国特色区域经济与产业理论、区域城镇化与城乡结构、区域贸易与经济合作、区域发展战略与生产力布局、区域空间演化及机理等。以中国特色社会主义政治经济学、区域经济学、空间经济学、经济地理学等学科为基础，围绕“全球</w:t>
      </w:r>
      <w:r>
        <w:rPr>
          <w:rFonts w:hint="eastAsia" w:eastAsia="宋体"/>
          <w:lang w:eastAsia="zh-CN"/>
        </w:rPr>
        <w:t>—</w:t>
      </w:r>
      <w:r>
        <w:rPr>
          <w:rFonts w:hint="eastAsia"/>
        </w:rPr>
        <w:t>国家</w:t>
      </w:r>
      <w:r>
        <w:rPr>
          <w:rFonts w:hint="eastAsia" w:eastAsia="宋体"/>
          <w:lang w:eastAsia="zh-CN"/>
        </w:rPr>
        <w:t>—</w:t>
      </w:r>
      <w:r>
        <w:rPr>
          <w:rFonts w:hint="eastAsia"/>
        </w:rPr>
        <w:t>地方”等尺度的区域生产力及生产关系变迁，以区域经济发展与区域关系协调为研究</w:t>
      </w:r>
      <w:r>
        <w:rPr>
          <w:rFonts w:hint="eastAsia" w:ascii="Times New Roman" w:eastAsia="宋体"/>
          <w:lang w:val="en-US" w:eastAsia="zh-CN"/>
        </w:rPr>
        <w:t>方向</w:t>
      </w:r>
      <w:r>
        <w:rPr>
          <w:rFonts w:hint="eastAsia"/>
        </w:rPr>
        <w:t>，将区域发展理论与我国经济发展演化过程中的动能转换等重大现实需求及发展特点深度结合，</w:t>
      </w:r>
      <w:r>
        <w:rPr>
          <w:rFonts w:hint="eastAsia" w:ascii="Times New Roman" w:eastAsia="宋体"/>
          <w:lang w:val="en-US" w:eastAsia="zh-CN"/>
        </w:rPr>
        <w:t>重点关注粤港澳大湾区、城市群及都市圈</w:t>
      </w:r>
      <w:r>
        <w:rPr>
          <w:rFonts w:hint="eastAsia"/>
          <w:lang w:val="en-US" w:eastAsia="zh-CN"/>
        </w:rPr>
        <w:t>、县域经济和区域协调发展</w:t>
      </w:r>
      <w:r>
        <w:rPr>
          <w:rFonts w:hint="eastAsia" w:ascii="Times New Roman" w:eastAsia="宋体"/>
          <w:lang w:val="en-US" w:eastAsia="zh-CN"/>
        </w:rPr>
        <w:t>等国家重大战略承载地区演化规律，</w:t>
      </w:r>
      <w:r>
        <w:rPr>
          <w:rFonts w:hint="eastAsia"/>
        </w:rPr>
        <w:t>形成“以实践丰富理论，以理论指导实践”的特色研究生培育</w:t>
      </w:r>
      <w:r>
        <w:rPr>
          <w:rFonts w:hint="eastAsia" w:ascii="Times New Roman" w:eastAsia="宋体"/>
          <w:lang w:val="en-US" w:eastAsia="zh-CN"/>
        </w:rPr>
        <w:t>模式，构建立足广东，体现中国特色的区域经济研究学科体系、学术体系、话语体系。</w:t>
      </w:r>
      <w:r>
        <w:rPr>
          <w:rFonts w:hint="eastAsia"/>
        </w:rPr>
        <w:t>培养一批深入实际、面向实践，在服务于我国中国式现代化的区域关系优化及生产力合理布局、城镇化及区域协调发展等方面具有较强理论水平和研究能力的复合型人才。</w:t>
      </w:r>
    </w:p>
    <w:p>
      <w:pPr>
        <w:ind w:firstLine="480"/>
        <w:outlineLvl w:val="9"/>
        <w:rPr>
          <w:rFonts w:hint="default" w:eastAsia="宋体"/>
          <w:b/>
          <w:bCs/>
          <w:lang w:val="en-US" w:eastAsia="zh-CN"/>
        </w:rPr>
      </w:pPr>
      <w:r>
        <w:rPr>
          <w:rFonts w:hint="eastAsia"/>
          <w:b/>
          <w:bCs/>
          <w:lang w:eastAsia="zh-CN"/>
        </w:rPr>
        <w:t>（</w:t>
      </w:r>
      <w:r>
        <w:rPr>
          <w:rFonts w:hint="eastAsia"/>
          <w:b/>
          <w:bCs/>
          <w:lang w:val="en-US" w:eastAsia="zh-CN"/>
        </w:rPr>
        <w:t>3</w:t>
      </w:r>
      <w:r>
        <w:rPr>
          <w:rFonts w:hint="eastAsia"/>
          <w:b/>
          <w:bCs/>
          <w:lang w:eastAsia="zh-CN"/>
        </w:rPr>
        <w:t>）</w:t>
      </w:r>
      <w:r>
        <w:rPr>
          <w:rFonts w:hint="eastAsia"/>
          <w:b/>
          <w:bCs/>
          <w:lang w:val="en-US" w:eastAsia="zh-CN"/>
        </w:rPr>
        <w:t>金融学</w:t>
      </w:r>
    </w:p>
    <w:p>
      <w:pPr>
        <w:ind w:firstLine="480"/>
        <w:rPr>
          <w:rFonts w:hint="eastAsia"/>
        </w:rPr>
      </w:pPr>
      <w:r>
        <w:rPr>
          <w:rFonts w:hint="eastAsia"/>
        </w:rPr>
        <w:t>研究领域涉及宏观金融，银行、保险与资本市场，国际金融，金融风险与监管，金融科技等。立足金融学基本理论，坚持科教融合，理论研究与政策研究并重，关注国际、国内以及广东金融高质量发展等现实问题，在区域金融发展与规划战略研究、金融制度改革创新等领域形成研究特色。注重理论联系实际，与各级政府、金融机构、研究机构建立广泛的合作网络，建立了“小机构、大网络”的培养体系。力求培养具备系统的现代经济金融知识和扎实的业务技能，具有创新意识和国际化视野，通晓西方金融理论与市场，又熟练掌握中国金融制度和运行机制的高素质、复合型高端金融人才。</w:t>
      </w:r>
    </w:p>
    <w:p>
      <w:pPr>
        <w:ind w:firstLine="480"/>
        <w:outlineLvl w:val="2"/>
        <w:rPr>
          <w:rFonts w:hint="default" w:eastAsia="宋体"/>
          <w:b/>
          <w:bCs/>
          <w:lang w:val="en-US" w:eastAsia="zh-CN"/>
        </w:rPr>
      </w:pPr>
      <w:r>
        <w:rPr>
          <w:rFonts w:hint="eastAsia"/>
          <w:b/>
          <w:bCs/>
          <w:lang w:eastAsia="zh-CN"/>
        </w:rPr>
        <w:t>（</w:t>
      </w:r>
      <w:r>
        <w:rPr>
          <w:rFonts w:hint="eastAsia"/>
          <w:b/>
          <w:bCs/>
          <w:lang w:val="en-US" w:eastAsia="zh-CN"/>
        </w:rPr>
        <w:t>4</w:t>
      </w:r>
      <w:r>
        <w:rPr>
          <w:rFonts w:hint="eastAsia"/>
          <w:b/>
          <w:bCs/>
          <w:lang w:eastAsia="zh-CN"/>
        </w:rPr>
        <w:t>）</w:t>
      </w:r>
      <w:r>
        <w:rPr>
          <w:rFonts w:hint="eastAsia"/>
          <w:b/>
          <w:bCs/>
          <w:lang w:val="en-US" w:eastAsia="zh-CN"/>
        </w:rPr>
        <w:t>国际贸易学</w:t>
      </w:r>
    </w:p>
    <w:p>
      <w:pPr>
        <w:overflowPunct w:val="0"/>
        <w:adjustRightInd w:val="0"/>
        <w:snapToGrid w:val="0"/>
        <w:spacing w:after="157" w:afterLines="50"/>
        <w:ind w:firstLine="480"/>
        <w:rPr>
          <w:rFonts w:hint="eastAsia"/>
        </w:rPr>
      </w:pPr>
      <w:r>
        <w:rPr>
          <w:rFonts w:hint="eastAsia"/>
        </w:rPr>
        <w:t>研究领域涵盖国际经济、中国对外贸易、“一带一路”建设、国际湾区等。以国际贸易原理和相关理论为指导，关注全球贸易发展规律和有关国际热点问题，重点关注国际湾区和世界级城市群、国际贸易关系和相关政策。其中包括RCEP</w:t>
      </w:r>
      <w:r>
        <w:rPr>
          <w:rFonts w:hint="eastAsia"/>
          <w:lang w:val="en-US" w:eastAsia="zh-CN"/>
        </w:rPr>
        <w:t>和自贸区</w:t>
      </w:r>
      <w:r>
        <w:rPr>
          <w:rFonts w:hint="eastAsia"/>
        </w:rPr>
        <w:t>相关研究。本学科研究可结合广东实际，以广东外向型经济为研究起点，为广东乃至全国对外贸易领域培养合格人才。</w:t>
      </w:r>
    </w:p>
    <w:p>
      <w:pPr>
        <w:pStyle w:val="4"/>
        <w:keepNext w:val="0"/>
        <w:keepLines w:val="0"/>
        <w:widowControl w:val="0"/>
        <w:overflowPunct w:val="0"/>
        <w:adjustRightInd w:val="0"/>
        <w:snapToGrid w:val="0"/>
        <w:ind w:firstLine="602" w:firstLineChars="200"/>
        <w:rPr>
          <w:rFonts w:hint="eastAsia" w:eastAsia="黑体"/>
          <w:lang w:eastAsia="zh-CN"/>
        </w:rPr>
      </w:pPr>
      <w:bookmarkStart w:id="19" w:name="_Toc101036323"/>
      <w:bookmarkStart w:id="20" w:name="_Toc11724"/>
      <w:bookmarkStart w:id="21" w:name="_Toc8968"/>
      <w:bookmarkStart w:id="22" w:name="_Toc27170"/>
      <w:r>
        <w:rPr>
          <w:rFonts w:hint="eastAsia"/>
        </w:rPr>
        <w:t>（三）</w:t>
      </w:r>
      <w:r>
        <w:rPr>
          <w:rFonts w:hint="eastAsia"/>
          <w:lang w:val="en-US" w:eastAsia="zh-CN"/>
        </w:rPr>
        <w:t>研究生</w:t>
      </w:r>
      <w:bookmarkEnd w:id="19"/>
      <w:bookmarkEnd w:id="20"/>
      <w:r>
        <w:rPr>
          <w:rFonts w:hint="eastAsia"/>
          <w:lang w:val="en-US" w:eastAsia="zh-CN"/>
        </w:rPr>
        <w:t>规模及结构</w:t>
      </w:r>
      <w:bookmarkEnd w:id="21"/>
      <w:bookmarkEnd w:id="22"/>
    </w:p>
    <w:p>
      <w:pPr>
        <w:pStyle w:val="5"/>
        <w:keepNext w:val="0"/>
        <w:keepLines w:val="0"/>
        <w:widowControl w:val="0"/>
        <w:ind w:firstLine="560" w:firstLineChars="200"/>
        <w:rPr>
          <w:rFonts w:hint="default" w:eastAsia="黑体"/>
          <w:lang w:val="en-US" w:eastAsia="zh-CN"/>
        </w:rPr>
      </w:pPr>
      <w:bookmarkStart w:id="23" w:name="_Toc24265"/>
      <w:r>
        <w:rPr>
          <w:rFonts w:hint="eastAsia"/>
        </w:rPr>
        <w:t>1.</w:t>
      </w:r>
      <w:bookmarkEnd w:id="23"/>
      <w:r>
        <w:rPr>
          <w:rFonts w:hint="eastAsia"/>
          <w:lang w:val="en-US" w:eastAsia="zh-Hans"/>
        </w:rPr>
        <w:t>研究生</w:t>
      </w:r>
      <w:r>
        <w:rPr>
          <w:rFonts w:hint="eastAsia"/>
          <w:lang w:val="en-US" w:eastAsia="zh-CN"/>
        </w:rPr>
        <w:t>招录</w:t>
      </w:r>
    </w:p>
    <w:p>
      <w:pPr>
        <w:ind w:firstLine="480"/>
        <w:rPr>
          <w:rFonts w:hint="eastAsia"/>
        </w:rPr>
      </w:pPr>
      <w:r>
        <w:rPr>
          <w:rFonts w:hint="eastAsia"/>
          <w:lang w:val="en-US" w:eastAsia="zh-Hans"/>
        </w:rPr>
        <w:t>本</w:t>
      </w:r>
      <w:r>
        <w:rPr>
          <w:rFonts w:hint="eastAsia"/>
          <w:lang w:val="en-US" w:eastAsia="zh-CN"/>
        </w:rPr>
        <w:t>学位点</w:t>
      </w:r>
      <w:r>
        <w:rPr>
          <w:rFonts w:hint="eastAsia"/>
        </w:rPr>
        <w:t>认真贯彻落实教育部</w:t>
      </w:r>
      <w:r>
        <w:rPr>
          <w:rFonts w:hint="eastAsia"/>
          <w:highlight w:val="none"/>
        </w:rPr>
        <w:t>《202</w:t>
      </w:r>
      <w:r>
        <w:rPr>
          <w:rFonts w:hint="eastAsia"/>
          <w:highlight w:val="none"/>
          <w:lang w:val="en-US" w:eastAsia="zh-CN"/>
        </w:rPr>
        <w:t>3</w:t>
      </w:r>
      <w:r>
        <w:rPr>
          <w:rFonts w:hint="eastAsia"/>
          <w:highlight w:val="none"/>
        </w:rPr>
        <w:t>年全国硕士研究生招生工作管理规定》</w:t>
      </w:r>
      <w:r>
        <w:rPr>
          <w:rFonts w:hint="eastAsia"/>
        </w:rPr>
        <w:t>和省招办有关政策规定，</w:t>
      </w:r>
      <w:r>
        <w:rPr>
          <w:rFonts w:hint="eastAsia"/>
          <w:lang w:val="en-US" w:eastAsia="zh-Hans"/>
        </w:rPr>
        <w:t>注重</w:t>
      </w:r>
      <w:r>
        <w:rPr>
          <w:rFonts w:hint="eastAsia"/>
        </w:rPr>
        <w:t>规范管理</w:t>
      </w:r>
      <w:r>
        <w:rPr>
          <w:rFonts w:hint="eastAsia"/>
          <w:lang w:val="en-US" w:eastAsia="zh-Hans"/>
        </w:rPr>
        <w:t>基础上的</w:t>
      </w:r>
      <w:r>
        <w:rPr>
          <w:rFonts w:hint="eastAsia"/>
        </w:rPr>
        <w:t>改革创新，确保研招工作公平、公正、公开，科学选拔优质生源。为切实加强研究生招生环节管理，</w:t>
      </w:r>
      <w:r>
        <w:rPr>
          <w:rFonts w:hint="eastAsia"/>
          <w:lang w:val="en-US" w:eastAsia="zh-Hans"/>
        </w:rPr>
        <w:t>学位点每年</w:t>
      </w:r>
      <w:r>
        <w:rPr>
          <w:rFonts w:hint="eastAsia"/>
        </w:rPr>
        <w:t>提前制定招生计划，明确工作职责</w:t>
      </w:r>
      <w:r>
        <w:rPr>
          <w:rFonts w:hint="eastAsia"/>
          <w:lang w:eastAsia="zh-CN"/>
        </w:rPr>
        <w:t>，</w:t>
      </w:r>
      <w:r>
        <w:rPr>
          <w:rFonts w:hint="eastAsia"/>
        </w:rPr>
        <w:t>在招生过程中坚持分阶段督查、全过程把关，确保招生工作顺利开展。为了保证生源质量，学位点严格把控复试关</w:t>
      </w:r>
      <w:r>
        <w:rPr>
          <w:rFonts w:hint="eastAsia"/>
          <w:highlight w:val="none"/>
        </w:rPr>
        <w:t>，</w:t>
      </w:r>
      <w:r>
        <w:rPr>
          <w:rFonts w:hint="eastAsia"/>
          <w:highlight w:val="none"/>
          <w:lang w:eastAsia="zh-CN"/>
        </w:rPr>
        <w:t>持续推进一级学科统一命题及题库建设，优化</w:t>
      </w:r>
      <w:r>
        <w:rPr>
          <w:rFonts w:hint="eastAsia"/>
          <w:highlight w:val="none"/>
          <w:lang w:val="en-US" w:eastAsia="zh-CN"/>
        </w:rPr>
        <w:t>复</w:t>
      </w:r>
      <w:r>
        <w:rPr>
          <w:rFonts w:hint="eastAsia"/>
          <w:highlight w:val="none"/>
          <w:lang w:eastAsia="zh-CN"/>
        </w:rPr>
        <w:t>试内容</w:t>
      </w:r>
      <w:r>
        <w:rPr>
          <w:rFonts w:hint="eastAsia"/>
          <w:highlight w:val="none"/>
        </w:rPr>
        <w:t>，进一步加强思想政治</w:t>
      </w:r>
      <w:r>
        <w:rPr>
          <w:rFonts w:hint="eastAsia"/>
          <w:highlight w:val="none"/>
          <w:lang w:val="en-US" w:eastAsia="zh-Hans"/>
        </w:rPr>
        <w:t>和综合</w:t>
      </w:r>
      <w:r>
        <w:rPr>
          <w:rFonts w:hint="eastAsia"/>
          <w:highlight w:val="none"/>
        </w:rPr>
        <w:t>品德考查，</w:t>
      </w:r>
      <w:r>
        <w:rPr>
          <w:rFonts w:hint="eastAsia"/>
          <w:highlight w:val="none"/>
          <w:lang w:val="en-US" w:eastAsia="zh-CN"/>
        </w:rPr>
        <w:t>全面</w:t>
      </w:r>
      <w:r>
        <w:rPr>
          <w:rFonts w:hint="eastAsia"/>
          <w:highlight w:val="none"/>
        </w:rPr>
        <w:t>评价考生考试成绩、专业</w:t>
      </w:r>
      <w:r>
        <w:rPr>
          <w:rFonts w:hint="eastAsia"/>
          <w:highlight w:val="none"/>
          <w:lang w:val="en-US" w:eastAsia="zh-CN"/>
        </w:rPr>
        <w:t>知识</w:t>
      </w:r>
      <w:r>
        <w:rPr>
          <w:rFonts w:hint="eastAsia"/>
          <w:highlight w:val="none"/>
        </w:rPr>
        <w:t>、实践能力、创新精神等</w:t>
      </w:r>
      <w:r>
        <w:rPr>
          <w:rFonts w:hint="eastAsia"/>
          <w:highlight w:val="none"/>
          <w:lang w:val="en-US" w:eastAsia="zh-CN"/>
        </w:rPr>
        <w:t>综合素质，结合复试与初试的综合成绩，按照排名差额淘汰、择优录取。</w:t>
      </w:r>
      <w:r>
        <w:rPr>
          <w:rFonts w:hint="eastAsia"/>
          <w:highlight w:val="none"/>
        </w:rPr>
        <w:t>202</w:t>
      </w:r>
      <w:r>
        <w:rPr>
          <w:rFonts w:hint="eastAsia"/>
          <w:highlight w:val="none"/>
          <w:lang w:val="en-US" w:eastAsia="zh-CN"/>
        </w:rPr>
        <w:t>3</w:t>
      </w:r>
      <w:r>
        <w:rPr>
          <w:rFonts w:hint="eastAsia"/>
          <w:highlight w:val="none"/>
        </w:rPr>
        <w:t>年，</w:t>
      </w:r>
      <w:r>
        <w:rPr>
          <w:rFonts w:hint="eastAsia"/>
          <w:highlight w:val="none"/>
          <w:lang w:val="en-US" w:eastAsia="zh-CN"/>
        </w:rPr>
        <w:t>本学位点恢复</w:t>
      </w:r>
      <w:r>
        <w:rPr>
          <w:rFonts w:hint="eastAsia"/>
          <w:highlight w:val="none"/>
        </w:rPr>
        <w:t>线下复试</w:t>
      </w:r>
      <w:r>
        <w:rPr>
          <w:rFonts w:hint="eastAsia"/>
          <w:highlight w:val="none"/>
          <w:lang w:eastAsia="zh-CN"/>
        </w:rPr>
        <w:t>，</w:t>
      </w:r>
      <w:r>
        <w:rPr>
          <w:rFonts w:hint="eastAsia"/>
          <w:highlight w:val="none"/>
          <w:lang w:val="en-US" w:eastAsia="zh-CN"/>
        </w:rPr>
        <w:t>通过现场笔试+面试的</w:t>
      </w:r>
      <w:r>
        <w:rPr>
          <w:rFonts w:hint="eastAsia"/>
          <w:highlight w:val="none"/>
        </w:rPr>
        <w:t>方式招生</w:t>
      </w:r>
      <w:r>
        <w:rPr>
          <w:rFonts w:hint="eastAsia"/>
          <w:highlight w:val="none"/>
          <w:lang w:val="en-US" w:eastAsia="zh-CN"/>
        </w:rPr>
        <w:t>10</w:t>
      </w:r>
      <w:r>
        <w:rPr>
          <w:rFonts w:hint="eastAsia"/>
          <w:highlight w:val="none"/>
        </w:rPr>
        <w:t>人。其中，产业经济学5人，区域经济学1人，金融学</w:t>
      </w:r>
      <w:r>
        <w:rPr>
          <w:rFonts w:hint="eastAsia"/>
          <w:highlight w:val="none"/>
          <w:lang w:val="en-US" w:eastAsia="zh-CN"/>
        </w:rPr>
        <w:t>2</w:t>
      </w:r>
      <w:r>
        <w:rPr>
          <w:rFonts w:hint="eastAsia"/>
          <w:highlight w:val="none"/>
        </w:rPr>
        <w:t>人，国际贸易学2人，</w:t>
      </w:r>
      <w:r>
        <w:rPr>
          <w:rFonts w:hint="eastAsia"/>
        </w:rPr>
        <w:t>圆满完成招生任务。</w:t>
      </w:r>
    </w:p>
    <w:p>
      <w:pPr>
        <w:pStyle w:val="5"/>
        <w:keepNext w:val="0"/>
        <w:keepLines w:val="0"/>
        <w:widowControl w:val="0"/>
        <w:ind w:firstLine="560" w:firstLineChars="200"/>
        <w:rPr>
          <w:rFonts w:hint="eastAsia"/>
        </w:rPr>
      </w:pPr>
      <w:bookmarkStart w:id="24" w:name="_Toc1121"/>
      <w:r>
        <w:rPr>
          <w:rFonts w:hint="eastAsia"/>
        </w:rPr>
        <w:t>2.</w:t>
      </w:r>
      <w:r>
        <w:rPr>
          <w:rFonts w:hint="eastAsia"/>
          <w:lang w:val="en-US" w:eastAsia="zh-Hans"/>
        </w:rPr>
        <w:t>研究生</w:t>
      </w:r>
      <w:r>
        <w:rPr>
          <w:rFonts w:hint="eastAsia"/>
          <w:highlight w:val="none"/>
        </w:rPr>
        <w:t>在读结构</w:t>
      </w:r>
      <w:bookmarkEnd w:id="24"/>
    </w:p>
    <w:p>
      <w:pPr>
        <w:keepNext w:val="0"/>
        <w:keepLines w:val="0"/>
        <w:pageBreakBefore w:val="0"/>
        <w:widowControl w:val="0"/>
        <w:kinsoku/>
        <w:wordWrap/>
        <w:overflowPunct/>
        <w:topLinePunct w:val="0"/>
        <w:autoSpaceDE/>
        <w:autoSpaceDN/>
        <w:bidi w:val="0"/>
        <w:adjustRightInd/>
        <w:snapToGrid/>
        <w:spacing w:after="157" w:afterLines="50"/>
        <w:ind w:firstLine="480"/>
        <w:textAlignment w:val="auto"/>
        <w:rPr>
          <w:rFonts w:hint="eastAsia"/>
        </w:rPr>
      </w:pPr>
      <w:r>
        <w:rPr>
          <w:rFonts w:hint="eastAsia"/>
        </w:rPr>
        <w:t>截至202</w:t>
      </w:r>
      <w:r>
        <w:rPr>
          <w:rFonts w:hint="eastAsia"/>
          <w:lang w:val="en-US" w:eastAsia="zh-CN"/>
        </w:rPr>
        <w:t>3</w:t>
      </w:r>
      <w:r>
        <w:rPr>
          <w:rFonts w:hint="eastAsia"/>
        </w:rPr>
        <w:t>年底，</w:t>
      </w:r>
      <w:r>
        <w:rPr>
          <w:rFonts w:hint="eastAsia"/>
          <w:lang w:val="en-US" w:eastAsia="zh-CN"/>
        </w:rPr>
        <w:t>学位点</w:t>
      </w:r>
      <w:r>
        <w:rPr>
          <w:rFonts w:hint="eastAsia"/>
        </w:rPr>
        <w:t>在读研究生29人。其中，一年级</w:t>
      </w:r>
      <w:r>
        <w:rPr>
          <w:rFonts w:hint="eastAsia"/>
          <w:lang w:val="en-US" w:eastAsia="zh-CN"/>
        </w:rPr>
        <w:t>10</w:t>
      </w:r>
      <w:r>
        <w:rPr>
          <w:rFonts w:hint="eastAsia"/>
        </w:rPr>
        <w:t>人，二年级</w:t>
      </w:r>
      <w:r>
        <w:rPr>
          <w:rFonts w:hint="eastAsia"/>
          <w:lang w:val="en-US" w:eastAsia="zh-CN"/>
        </w:rPr>
        <w:t>10</w:t>
      </w:r>
      <w:r>
        <w:rPr>
          <w:rFonts w:hint="eastAsia"/>
        </w:rPr>
        <w:t>人</w:t>
      </w:r>
      <w:r>
        <w:rPr>
          <w:rFonts w:hint="eastAsia"/>
          <w:lang w:eastAsia="zh-CN"/>
        </w:rPr>
        <w:t>，</w:t>
      </w:r>
      <w:r>
        <w:rPr>
          <w:rFonts w:hint="eastAsia"/>
        </w:rPr>
        <w:t>三年级</w:t>
      </w:r>
      <w:r>
        <w:rPr>
          <w:rFonts w:hint="eastAsia"/>
          <w:lang w:val="en-US" w:eastAsia="zh-CN"/>
        </w:rPr>
        <w:t>9</w:t>
      </w:r>
      <w:r>
        <w:rPr>
          <w:rFonts w:hint="eastAsia"/>
        </w:rPr>
        <w:t>人。从学科分布看，产业经济学15人，占比51.72%；区域经济学3人，占比10.34%；金融学5人，占比17.24%；国际贸易学6人，占比20.69%。</w:t>
      </w:r>
    </w:p>
    <w:p>
      <w:pPr>
        <w:ind w:firstLine="0" w:firstLineChars="0"/>
        <w:jc w:val="center"/>
        <w:rPr>
          <w:rFonts w:ascii="楷体" w:hAnsi="楷体" w:eastAsia="楷体" w:cs="楷体"/>
          <w:sz w:val="28"/>
          <w:szCs w:val="28"/>
        </w:rPr>
      </w:pPr>
      <w:r>
        <w:drawing>
          <wp:inline distT="0" distB="0" distL="114300" distR="114300">
            <wp:extent cx="4281170" cy="2261870"/>
            <wp:effectExtent l="0" t="0" r="5080" b="508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3"/>
                    <a:stretch>
                      <a:fillRect/>
                    </a:stretch>
                  </pic:blipFill>
                  <pic:spPr>
                    <a:xfrm>
                      <a:off x="0" y="0"/>
                      <a:ext cx="4281170" cy="226187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57" w:afterLines="50"/>
        <w:ind w:firstLine="0" w:firstLineChars="0"/>
        <w:jc w:val="center"/>
        <w:textAlignment w:val="auto"/>
        <w:rPr>
          <w:rFonts w:hint="eastAsia" w:ascii="宋体" w:hAnsi="宋体" w:eastAsia="宋体" w:cs="宋体"/>
          <w:b/>
          <w:bCs/>
          <w:szCs w:val="24"/>
        </w:rPr>
      </w:pPr>
      <w:r>
        <w:rPr>
          <w:rFonts w:hint="eastAsia" w:ascii="宋体" w:hAnsi="宋体" w:eastAsia="宋体" w:cs="宋体"/>
          <w:b/>
          <w:bCs/>
          <w:szCs w:val="24"/>
        </w:rPr>
        <w:t>图</w:t>
      </w:r>
      <w:r>
        <w:rPr>
          <w:rFonts w:hint="eastAsia" w:ascii="宋体" w:hAnsi="宋体" w:eastAsia="宋体" w:cs="宋体"/>
          <w:b/>
          <w:bCs/>
          <w:szCs w:val="24"/>
        </w:rPr>
        <w:fldChar w:fldCharType="begin"/>
      </w:r>
      <w:r>
        <w:rPr>
          <w:rFonts w:hint="eastAsia" w:ascii="宋体" w:hAnsi="宋体" w:eastAsia="宋体" w:cs="宋体"/>
          <w:b/>
          <w:bCs/>
          <w:szCs w:val="24"/>
        </w:rPr>
        <w:instrText xml:space="preserve"> SEQ 图 \* ARABIC </w:instrText>
      </w:r>
      <w:r>
        <w:rPr>
          <w:rFonts w:hint="eastAsia" w:ascii="宋体" w:hAnsi="宋体" w:eastAsia="宋体" w:cs="宋体"/>
          <w:b/>
          <w:bCs/>
          <w:szCs w:val="24"/>
        </w:rPr>
        <w:fldChar w:fldCharType="separate"/>
      </w:r>
      <w:r>
        <w:rPr>
          <w:rFonts w:hint="eastAsia" w:ascii="宋体" w:hAnsi="宋体" w:eastAsia="宋体" w:cs="宋体"/>
          <w:b/>
          <w:bCs/>
          <w:szCs w:val="24"/>
        </w:rPr>
        <w:t>1</w:t>
      </w:r>
      <w:r>
        <w:rPr>
          <w:rFonts w:hint="eastAsia" w:ascii="宋体" w:hAnsi="宋体" w:eastAsia="宋体" w:cs="宋体"/>
          <w:b/>
          <w:bCs/>
          <w:szCs w:val="24"/>
        </w:rPr>
        <w:fldChar w:fldCharType="end"/>
      </w:r>
      <w:r>
        <w:rPr>
          <w:rFonts w:hint="eastAsia" w:ascii="宋体" w:hAnsi="宋体" w:eastAsia="宋体" w:cs="宋体"/>
          <w:b/>
          <w:bCs/>
          <w:szCs w:val="24"/>
        </w:rPr>
        <w:t xml:space="preserve">  202</w:t>
      </w:r>
      <w:r>
        <w:rPr>
          <w:rFonts w:hint="eastAsia" w:ascii="宋体" w:hAnsi="宋体" w:cs="宋体"/>
          <w:b/>
          <w:bCs/>
          <w:szCs w:val="24"/>
          <w:lang w:val="en-US" w:eastAsia="zh-CN"/>
        </w:rPr>
        <w:t>3</w:t>
      </w:r>
      <w:r>
        <w:rPr>
          <w:rFonts w:hint="eastAsia" w:ascii="宋体" w:hAnsi="宋体" w:eastAsia="宋体" w:cs="宋体"/>
          <w:b/>
          <w:bCs/>
          <w:szCs w:val="24"/>
        </w:rPr>
        <w:t>年在读</w:t>
      </w:r>
      <w:r>
        <w:rPr>
          <w:rFonts w:hint="eastAsia" w:ascii="宋体" w:hAnsi="宋体" w:cs="宋体"/>
          <w:b/>
          <w:bCs/>
          <w:szCs w:val="24"/>
          <w:lang w:val="en-US" w:eastAsia="zh-CN"/>
        </w:rPr>
        <w:t>研究生</w:t>
      </w:r>
      <w:r>
        <w:rPr>
          <w:rFonts w:hint="eastAsia" w:ascii="宋体" w:hAnsi="宋体" w:eastAsia="宋体" w:cs="宋体"/>
          <w:b/>
          <w:bCs/>
          <w:szCs w:val="24"/>
        </w:rPr>
        <w:t>结构图</w:t>
      </w:r>
    </w:p>
    <w:p>
      <w:pPr>
        <w:pStyle w:val="4"/>
        <w:keepNext w:val="0"/>
        <w:keepLines w:val="0"/>
        <w:widowControl w:val="0"/>
        <w:ind w:firstLine="602" w:firstLineChars="200"/>
        <w:rPr>
          <w:rFonts w:hint="eastAsia" w:eastAsia="黑体"/>
          <w:lang w:eastAsia="zh-CN"/>
        </w:rPr>
      </w:pPr>
      <w:bookmarkStart w:id="25" w:name="_Toc101036324"/>
      <w:bookmarkStart w:id="26" w:name="_Toc15740"/>
      <w:bookmarkStart w:id="27" w:name="_Toc7629"/>
      <w:bookmarkStart w:id="28" w:name="_Toc27422"/>
      <w:r>
        <w:rPr>
          <w:rFonts w:hint="eastAsia"/>
        </w:rPr>
        <w:t>（四</w:t>
      </w:r>
      <w:r>
        <w:rPr>
          <w:rFonts w:hint="eastAsia"/>
          <w:color w:val="auto"/>
        </w:rPr>
        <w:t>）</w:t>
      </w:r>
      <w:bookmarkEnd w:id="25"/>
      <w:r>
        <w:rPr>
          <w:rFonts w:hint="eastAsia"/>
          <w:color w:val="auto"/>
          <w:highlight w:val="none"/>
          <w:lang w:val="en-US" w:eastAsia="zh-CN"/>
        </w:rPr>
        <w:t>师资</w:t>
      </w:r>
      <w:r>
        <w:rPr>
          <w:rFonts w:hint="eastAsia"/>
          <w:color w:val="auto"/>
          <w:highlight w:val="none"/>
        </w:rPr>
        <w:t>队伍</w:t>
      </w:r>
      <w:bookmarkEnd w:id="26"/>
      <w:bookmarkEnd w:id="27"/>
      <w:bookmarkEnd w:id="28"/>
    </w:p>
    <w:p>
      <w:pPr>
        <w:keepNext w:val="0"/>
        <w:keepLines w:val="0"/>
        <w:pageBreakBefore w:val="0"/>
        <w:widowControl w:val="0"/>
        <w:kinsoku/>
        <w:wordWrap/>
        <w:overflowPunct/>
        <w:topLinePunct w:val="0"/>
        <w:autoSpaceDE/>
        <w:autoSpaceDN/>
        <w:bidi w:val="0"/>
        <w:adjustRightInd/>
        <w:snapToGrid/>
        <w:spacing w:after="157" w:afterLines="50"/>
        <w:ind w:firstLine="560"/>
        <w:textAlignment w:val="auto"/>
        <w:outlineLvl w:val="2"/>
        <w:rPr>
          <w:rFonts w:hint="eastAsia" w:eastAsia="黑体"/>
          <w:bCs/>
          <w:kern w:val="0"/>
          <w:sz w:val="28"/>
          <w:szCs w:val="32"/>
          <w:highlight w:val="none"/>
          <w:lang w:val="en-US" w:eastAsia="zh-CN"/>
        </w:rPr>
      </w:pPr>
      <w:r>
        <w:rPr>
          <w:rFonts w:hint="eastAsia" w:eastAsia="黑体"/>
          <w:bCs/>
          <w:kern w:val="0"/>
          <w:sz w:val="28"/>
          <w:szCs w:val="32"/>
          <w:highlight w:val="none"/>
          <w:lang w:val="en-US" w:eastAsia="zh-CN"/>
        </w:rPr>
        <w:t>1.导师选拔和培训</w:t>
      </w:r>
    </w:p>
    <w:p>
      <w:pPr>
        <w:keepNext w:val="0"/>
        <w:keepLines w:val="0"/>
        <w:pageBreakBefore w:val="0"/>
        <w:widowControl w:val="0"/>
        <w:kinsoku/>
        <w:wordWrap/>
        <w:overflowPunct/>
        <w:topLinePunct w:val="0"/>
        <w:autoSpaceDE/>
        <w:autoSpaceDN/>
        <w:bidi w:val="0"/>
        <w:adjustRightInd/>
        <w:snapToGrid/>
        <w:spacing w:after="0" w:afterLines="0"/>
        <w:ind w:firstLine="480"/>
        <w:textAlignment w:val="auto"/>
        <w:rPr>
          <w:rFonts w:hint="eastAsia"/>
        </w:rPr>
      </w:pPr>
      <w:r>
        <w:rPr>
          <w:rFonts w:hint="eastAsia"/>
          <w:lang w:val="en-US" w:eastAsia="zh-CN"/>
        </w:rPr>
        <w:t>2023年，学位点</w:t>
      </w:r>
      <w:r>
        <w:rPr>
          <w:rFonts w:hint="eastAsia"/>
        </w:rPr>
        <w:t>扎实开展研究生导师增补工作。根据</w:t>
      </w:r>
      <w:r>
        <w:rPr>
          <w:rFonts w:hint="eastAsia"/>
          <w:lang w:val="en-US" w:eastAsia="zh-CN"/>
        </w:rPr>
        <w:t>新修订的</w:t>
      </w:r>
      <w:r>
        <w:rPr>
          <w:rFonts w:hint="eastAsia"/>
        </w:rPr>
        <w:t>《广东省社会科学院硕士研究生导师遴选条件》的规定以及各学科导师组的推荐，经院学位评定委员会会议审议通过，</w:t>
      </w:r>
      <w:r>
        <w:rPr>
          <w:rFonts w:hint="eastAsia"/>
          <w:highlight w:val="none"/>
        </w:rPr>
        <w:t>增补</w:t>
      </w:r>
      <w:r>
        <w:rPr>
          <w:rFonts w:hint="eastAsia"/>
          <w:highlight w:val="none"/>
          <w:lang w:eastAsia="zh-CN"/>
        </w:rPr>
        <w:t>3</w:t>
      </w:r>
      <w:r>
        <w:rPr>
          <w:rFonts w:hint="eastAsia"/>
          <w:highlight w:val="none"/>
        </w:rPr>
        <w:t>位专任教师为本学位点硕士研究生导师，均为45岁以下教学和科研经验丰富的</w:t>
      </w:r>
      <w:r>
        <w:rPr>
          <w:rFonts w:hint="eastAsia"/>
          <w:highlight w:val="none"/>
          <w:lang w:val="en-US" w:eastAsia="zh-CN"/>
        </w:rPr>
        <w:t>科研</w:t>
      </w:r>
      <w:r>
        <w:rPr>
          <w:rFonts w:hint="eastAsia"/>
          <w:highlight w:val="none"/>
        </w:rPr>
        <w:t>人员</w:t>
      </w:r>
      <w:r>
        <w:rPr>
          <w:rFonts w:hint="eastAsia"/>
        </w:rPr>
        <w:t>。</w:t>
      </w:r>
    </w:p>
    <w:p>
      <w:pPr>
        <w:keepNext w:val="0"/>
        <w:keepLines w:val="0"/>
        <w:pageBreakBefore w:val="0"/>
        <w:widowControl w:val="0"/>
        <w:kinsoku/>
        <w:wordWrap/>
        <w:overflowPunct/>
        <w:topLinePunct w:val="0"/>
        <w:autoSpaceDE/>
        <w:autoSpaceDN/>
        <w:bidi w:val="0"/>
        <w:adjustRightInd/>
        <w:snapToGrid/>
        <w:spacing w:after="0" w:afterLines="0"/>
        <w:ind w:firstLine="480"/>
        <w:textAlignment w:val="auto"/>
        <w:rPr>
          <w:rFonts w:hint="eastAsia"/>
        </w:rPr>
      </w:pPr>
      <w:r>
        <w:rPr>
          <w:rFonts w:hint="eastAsia"/>
          <w:lang w:val="en-US" w:eastAsia="zh-CN"/>
        </w:rPr>
        <w:t>同时，</w:t>
      </w:r>
      <w:r>
        <w:rPr>
          <w:rFonts w:hint="eastAsia"/>
        </w:rPr>
        <w:t>学位点从</w:t>
      </w:r>
      <w:r>
        <w:rPr>
          <w:rFonts w:hint="eastAsia"/>
          <w:lang w:val="en-US" w:eastAsia="zh-CN"/>
        </w:rPr>
        <w:t>师德师风、</w:t>
      </w:r>
      <w:r>
        <w:rPr>
          <w:rFonts w:hint="eastAsia"/>
          <w:highlight w:val="none"/>
          <w:lang w:val="en-US" w:eastAsia="zh-CN"/>
        </w:rPr>
        <w:t>岗位培训</w:t>
      </w:r>
      <w:r>
        <w:rPr>
          <w:rFonts w:hint="eastAsia"/>
          <w:highlight w:val="none"/>
        </w:rPr>
        <w:t>、</w:t>
      </w:r>
      <w:r>
        <w:rPr>
          <w:rFonts w:hint="eastAsia"/>
          <w:highlight w:val="none"/>
          <w:lang w:val="en-US" w:eastAsia="zh-CN"/>
        </w:rPr>
        <w:t>继续教育、学术研究</w:t>
      </w:r>
      <w:r>
        <w:rPr>
          <w:rFonts w:hint="eastAsia"/>
        </w:rPr>
        <w:t>等多角度，重视对</w:t>
      </w:r>
      <w:r>
        <w:rPr>
          <w:rFonts w:hint="eastAsia"/>
          <w:lang w:val="en-US" w:eastAsia="zh-CN"/>
        </w:rPr>
        <w:t>新增</w:t>
      </w:r>
      <w:r>
        <w:rPr>
          <w:rFonts w:hint="eastAsia"/>
        </w:rPr>
        <w:t>研究生导师的教育培训。</w:t>
      </w:r>
      <w:r>
        <w:rPr>
          <w:rFonts w:hint="eastAsia"/>
          <w:b w:val="0"/>
          <w:bCs w:val="0"/>
          <w:lang w:val="en-US" w:eastAsia="zh-CN"/>
        </w:rPr>
        <w:t>一是</w:t>
      </w:r>
      <w:r>
        <w:rPr>
          <w:rFonts w:hint="eastAsia"/>
        </w:rPr>
        <w:t>召开</w:t>
      </w:r>
      <w:r>
        <w:rPr>
          <w:rFonts w:hint="eastAsia"/>
          <w:lang w:val="en-US" w:eastAsia="zh-CN"/>
        </w:rPr>
        <w:t>新增导师</w:t>
      </w:r>
      <w:r>
        <w:rPr>
          <w:rFonts w:hint="eastAsia"/>
        </w:rPr>
        <w:t>师德师风教育动员</w:t>
      </w:r>
      <w:r>
        <w:rPr>
          <w:rFonts w:hint="eastAsia"/>
          <w:lang w:val="en-US" w:eastAsia="zh-CN"/>
        </w:rPr>
        <w:t>大会</w:t>
      </w:r>
      <w:r>
        <w:rPr>
          <w:rFonts w:hint="eastAsia"/>
        </w:rPr>
        <w:t>，明晰职责边界，建立师德失范责任认定和追究机制，将政治表现、师德师风、学术水平、指导精力投入、育人实效等纳入导师评价考核体系。</w:t>
      </w:r>
      <w:r>
        <w:rPr>
          <w:rFonts w:hint="eastAsia"/>
          <w:b w:val="0"/>
          <w:bCs w:val="0"/>
          <w:lang w:val="en-US" w:eastAsia="zh-CN"/>
        </w:rPr>
        <w:t>二是</w:t>
      </w:r>
      <w:r>
        <w:rPr>
          <w:rFonts w:hint="eastAsia"/>
          <w:lang w:val="en-US" w:eastAsia="zh-Hans"/>
        </w:rPr>
        <w:t>大力提升导师职业素养</w:t>
      </w:r>
      <w:r>
        <w:rPr>
          <w:rFonts w:hint="default"/>
          <w:lang w:eastAsia="zh-Hans"/>
        </w:rPr>
        <w:t>，</w:t>
      </w:r>
      <w:r>
        <w:rPr>
          <w:rFonts w:hint="eastAsia"/>
          <w:lang w:val="en-US" w:eastAsia="zh-CN"/>
        </w:rPr>
        <w:t>积极</w:t>
      </w:r>
      <w:r>
        <w:rPr>
          <w:rFonts w:hint="eastAsia"/>
        </w:rPr>
        <w:t>参加广东省学位与研究教育学会</w:t>
      </w:r>
      <w:r>
        <w:rPr>
          <w:rFonts w:hint="eastAsia"/>
          <w:lang w:val="en-US" w:eastAsia="zh-CN"/>
        </w:rPr>
        <w:t>举办的</w:t>
      </w:r>
      <w:r>
        <w:rPr>
          <w:rFonts w:hint="eastAsia"/>
        </w:rPr>
        <w:t>2023年广东省研究生指导教师培训班（第一期）</w:t>
      </w:r>
      <w:r>
        <w:rPr>
          <w:rFonts w:hint="eastAsia"/>
          <w:lang w:eastAsia="zh-CN"/>
        </w:rPr>
        <w:t>；</w:t>
      </w:r>
      <w:r>
        <w:rPr>
          <w:rFonts w:hint="eastAsia"/>
          <w:lang w:val="en-US" w:eastAsia="zh-CN"/>
        </w:rPr>
        <w:t>常态化</w:t>
      </w:r>
      <w:r>
        <w:rPr>
          <w:rFonts w:hint="eastAsia"/>
          <w:lang w:val="en-US" w:eastAsia="zh-Hans"/>
        </w:rPr>
        <w:t>开展</w:t>
      </w:r>
      <w:r>
        <w:rPr>
          <w:rFonts w:hint="eastAsia"/>
          <w:lang w:val="en-US" w:eastAsia="zh-CN"/>
        </w:rPr>
        <w:t>继续教育学习</w:t>
      </w:r>
      <w:r>
        <w:rPr>
          <w:rFonts w:hint="default"/>
          <w:lang w:eastAsia="zh-CN"/>
        </w:rPr>
        <w:t>，</w:t>
      </w:r>
      <w:r>
        <w:rPr>
          <w:rFonts w:hint="eastAsia"/>
          <w:lang w:val="en-US" w:eastAsia="zh-CN"/>
        </w:rPr>
        <w:t>按照省人社厅</w:t>
      </w:r>
      <w:r>
        <w:rPr>
          <w:rFonts w:hint="default"/>
          <w:lang w:eastAsia="zh-CN"/>
        </w:rPr>
        <w:t>、</w:t>
      </w:r>
      <w:r>
        <w:rPr>
          <w:rFonts w:hint="eastAsia"/>
          <w:lang w:val="en-US" w:eastAsia="zh-CN"/>
        </w:rPr>
        <w:t>省委组织部</w:t>
      </w:r>
      <w:r>
        <w:rPr>
          <w:rFonts w:hint="eastAsia"/>
          <w:lang w:val="en-US" w:eastAsia="zh-Hans"/>
        </w:rPr>
        <w:t>要求</w:t>
      </w:r>
      <w:r>
        <w:rPr>
          <w:rFonts w:hint="eastAsia"/>
          <w:lang w:val="en-US" w:eastAsia="zh-CN"/>
        </w:rPr>
        <w:t>，每人每年必须</w:t>
      </w:r>
      <w:r>
        <w:rPr>
          <w:rFonts w:hint="eastAsia"/>
          <w:lang w:val="en-US" w:eastAsia="zh-Hans"/>
        </w:rPr>
        <w:t>完成</w:t>
      </w:r>
      <w:r>
        <w:rPr>
          <w:rFonts w:hint="eastAsia"/>
          <w:lang w:val="en-US" w:eastAsia="zh-CN"/>
        </w:rPr>
        <w:t>72学分的继续教育</w:t>
      </w:r>
      <w:r>
        <w:rPr>
          <w:rFonts w:hint="eastAsia"/>
          <w:lang w:val="en-US" w:eastAsia="zh-Hans"/>
        </w:rPr>
        <w:t>学习和</w:t>
      </w:r>
      <w:r>
        <w:rPr>
          <w:rFonts w:hint="eastAsia"/>
          <w:lang w:val="en-US" w:eastAsia="zh-CN"/>
        </w:rPr>
        <w:t>50学时的专题网络培训</w:t>
      </w:r>
      <w:r>
        <w:rPr>
          <w:rFonts w:hint="default"/>
          <w:lang w:eastAsia="zh-CN"/>
        </w:rPr>
        <w:t>，</w:t>
      </w:r>
      <w:r>
        <w:rPr>
          <w:rFonts w:hint="eastAsia"/>
          <w:lang w:val="en-US" w:eastAsia="zh-CN"/>
        </w:rPr>
        <w:t>持续增强研究生导师</w:t>
      </w:r>
      <w:r>
        <w:rPr>
          <w:rFonts w:hint="eastAsia"/>
          <w:lang w:val="en-US" w:eastAsia="zh-Hans"/>
        </w:rPr>
        <w:t>职业素养和</w:t>
      </w:r>
      <w:r>
        <w:rPr>
          <w:rFonts w:hint="eastAsia"/>
          <w:lang w:val="en-US" w:eastAsia="zh-CN"/>
        </w:rPr>
        <w:t>教书育人水平。</w:t>
      </w:r>
      <w:r>
        <w:rPr>
          <w:rFonts w:hint="eastAsia"/>
          <w:b w:val="0"/>
          <w:bCs w:val="0"/>
          <w:lang w:val="en-US" w:eastAsia="zh-Hans"/>
        </w:rPr>
        <w:t>三</w:t>
      </w:r>
      <w:r>
        <w:rPr>
          <w:rFonts w:hint="eastAsia"/>
          <w:b w:val="0"/>
          <w:bCs w:val="0"/>
          <w:lang w:val="en-US" w:eastAsia="zh-CN"/>
        </w:rPr>
        <w:t>是</w:t>
      </w:r>
      <w:r>
        <w:rPr>
          <w:rFonts w:hint="eastAsia"/>
        </w:rPr>
        <w:t>鼓励</w:t>
      </w:r>
      <w:r>
        <w:rPr>
          <w:rFonts w:hint="eastAsia"/>
          <w:lang w:val="en-US" w:eastAsia="zh-Hans"/>
        </w:rPr>
        <w:t>新</w:t>
      </w:r>
      <w:r>
        <w:rPr>
          <w:rFonts w:hint="eastAsia"/>
          <w:lang w:val="en-US" w:eastAsia="zh-CN"/>
        </w:rPr>
        <w:t>增导师积极</w:t>
      </w:r>
      <w:r>
        <w:rPr>
          <w:rFonts w:hint="eastAsia"/>
        </w:rPr>
        <w:t>参加</w:t>
      </w:r>
      <w:r>
        <w:rPr>
          <w:rFonts w:hint="eastAsia"/>
          <w:lang w:val="en-US" w:eastAsia="zh-CN"/>
        </w:rPr>
        <w:t>院</w:t>
      </w:r>
      <w:r>
        <w:rPr>
          <w:rFonts w:hint="eastAsia"/>
        </w:rPr>
        <w:t>内外学术论坛</w:t>
      </w:r>
      <w:r>
        <w:rPr>
          <w:rFonts w:hint="eastAsia"/>
          <w:lang w:eastAsia="zh-CN"/>
        </w:rPr>
        <w:t>、</w:t>
      </w:r>
      <w:r>
        <w:rPr>
          <w:rFonts w:hint="eastAsia"/>
          <w:lang w:val="en-US" w:eastAsia="zh-CN"/>
        </w:rPr>
        <w:t>会议</w:t>
      </w:r>
      <w:r>
        <w:rPr>
          <w:rFonts w:hint="eastAsia"/>
        </w:rPr>
        <w:t>，</w:t>
      </w:r>
      <w:r>
        <w:rPr>
          <w:rFonts w:hint="eastAsia"/>
          <w:highlight w:val="none"/>
          <w:lang w:val="en-US" w:eastAsia="zh-CN"/>
        </w:rPr>
        <w:t>强化科学</w:t>
      </w:r>
      <w:r>
        <w:rPr>
          <w:rFonts w:hint="eastAsia"/>
          <w:highlight w:val="none"/>
        </w:rPr>
        <w:t>研究</w:t>
      </w:r>
      <w:r>
        <w:rPr>
          <w:rFonts w:hint="eastAsia"/>
          <w:highlight w:val="none"/>
          <w:lang w:val="en-US" w:eastAsia="zh-CN"/>
        </w:rPr>
        <w:t>能力</w:t>
      </w:r>
      <w:r>
        <w:rPr>
          <w:rFonts w:hint="eastAsia"/>
          <w:highlight w:val="none"/>
          <w:lang w:eastAsia="zh-CN"/>
        </w:rPr>
        <w:t>、</w:t>
      </w:r>
      <w:r>
        <w:rPr>
          <w:rFonts w:hint="eastAsia"/>
          <w:highlight w:val="none"/>
          <w:lang w:val="en-US" w:eastAsia="zh-CN"/>
        </w:rPr>
        <w:t>掌握</w:t>
      </w:r>
      <w:r>
        <w:rPr>
          <w:rFonts w:hint="eastAsia"/>
          <w:highlight w:val="none"/>
        </w:rPr>
        <w:t>教育教学前沿</w:t>
      </w:r>
      <w:r>
        <w:rPr>
          <w:rFonts w:hint="eastAsia"/>
          <w:highlight w:val="none"/>
          <w:lang w:eastAsia="zh-CN"/>
        </w:rPr>
        <w:t>，</w:t>
      </w:r>
      <w:r>
        <w:rPr>
          <w:rFonts w:hint="eastAsia"/>
        </w:rPr>
        <w:t>切实担当新时代教师使命职责，锤炼过硬本领。</w:t>
      </w:r>
      <w:r>
        <w:rPr>
          <w:rFonts w:hint="eastAsia"/>
          <w:lang w:val="en-US" w:eastAsia="zh-CN"/>
        </w:rPr>
        <w:t>四</w:t>
      </w:r>
      <w:r>
        <w:rPr>
          <w:rFonts w:hint="eastAsia"/>
        </w:rPr>
        <w:t>是锻炼专任教师人才队伍，</w:t>
      </w:r>
      <w:r>
        <w:rPr>
          <w:rFonts w:hint="eastAsia"/>
          <w:lang w:val="en-US" w:eastAsia="zh-CN"/>
        </w:rPr>
        <w:t>依托社科院</w:t>
      </w:r>
      <w:r>
        <w:rPr>
          <w:rFonts w:hint="eastAsia"/>
        </w:rPr>
        <w:t>实施</w:t>
      </w:r>
      <w:r>
        <w:rPr>
          <w:rFonts w:hint="eastAsia"/>
          <w:lang w:val="en-US" w:eastAsia="zh-CN"/>
        </w:rPr>
        <w:t>的</w:t>
      </w:r>
      <w:r>
        <w:rPr>
          <w:rFonts w:hint="eastAsia"/>
        </w:rPr>
        <w:t>“三大人才”工程建设，加快形成学术领军、学科带头人和储备人才为梯队的人才队伍。</w:t>
      </w:r>
    </w:p>
    <w:p>
      <w:pPr>
        <w:keepNext w:val="0"/>
        <w:keepLines w:val="0"/>
        <w:pageBreakBefore w:val="0"/>
        <w:widowControl w:val="0"/>
        <w:kinsoku/>
        <w:wordWrap/>
        <w:overflowPunct/>
        <w:topLinePunct w:val="0"/>
        <w:autoSpaceDE/>
        <w:autoSpaceDN/>
        <w:bidi w:val="0"/>
        <w:adjustRightInd/>
        <w:snapToGrid/>
        <w:spacing w:after="157" w:afterLines="50"/>
        <w:ind w:firstLine="560"/>
        <w:textAlignment w:val="auto"/>
        <w:outlineLvl w:val="2"/>
        <w:rPr>
          <w:rFonts w:hint="eastAsia" w:eastAsia="黑体"/>
          <w:bCs/>
          <w:kern w:val="0"/>
          <w:sz w:val="28"/>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ind w:firstLine="560"/>
        <w:textAlignment w:val="auto"/>
        <w:outlineLvl w:val="2"/>
        <w:rPr>
          <w:rFonts w:hint="eastAsia" w:eastAsia="黑体"/>
          <w:bCs/>
          <w:kern w:val="0"/>
          <w:sz w:val="28"/>
          <w:szCs w:val="32"/>
          <w:lang w:val="en-US" w:eastAsia="zh-CN"/>
        </w:rPr>
      </w:pPr>
      <w:r>
        <w:rPr>
          <w:rFonts w:hint="eastAsia" w:eastAsia="黑体"/>
          <w:bCs/>
          <w:kern w:val="0"/>
          <w:sz w:val="28"/>
          <w:szCs w:val="32"/>
          <w:lang w:val="en-US" w:eastAsia="zh-CN"/>
        </w:rPr>
        <w:t>2.导师队伍结构</w:t>
      </w:r>
    </w:p>
    <w:p>
      <w:pPr>
        <w:keepNext w:val="0"/>
        <w:keepLines w:val="0"/>
        <w:pageBreakBefore w:val="0"/>
        <w:widowControl w:val="0"/>
        <w:kinsoku/>
        <w:wordWrap/>
        <w:overflowPunct/>
        <w:topLinePunct w:val="0"/>
        <w:autoSpaceDE/>
        <w:autoSpaceDN/>
        <w:bidi w:val="0"/>
        <w:adjustRightInd/>
        <w:snapToGrid/>
        <w:spacing w:after="0" w:afterLines="0"/>
        <w:ind w:firstLine="480"/>
        <w:textAlignment w:val="auto"/>
        <w:rPr>
          <w:rFonts w:hint="eastAsia"/>
          <w:highlight w:val="yellow"/>
        </w:rPr>
      </w:pPr>
      <w:r>
        <w:rPr>
          <w:rFonts w:hint="eastAsia"/>
          <w:lang w:val="en-US" w:eastAsia="zh-CN"/>
        </w:rPr>
        <w:t>2023年</w:t>
      </w:r>
      <w:r>
        <w:rPr>
          <w:rFonts w:hint="eastAsia"/>
          <w:lang w:eastAsia="zh-CN"/>
        </w:rPr>
        <w:t>，</w:t>
      </w:r>
      <w:r>
        <w:rPr>
          <w:rFonts w:hint="eastAsia"/>
        </w:rPr>
        <w:t>学位点共有3</w:t>
      </w:r>
      <w:r>
        <w:t>2</w:t>
      </w:r>
      <w:r>
        <w:rPr>
          <w:rFonts w:hint="eastAsia"/>
        </w:rPr>
        <w:t>位导师，</w:t>
      </w:r>
      <w:r>
        <w:rPr>
          <w:rFonts w:hint="eastAsia"/>
          <w:lang w:val="en-US" w:eastAsia="zh-CN"/>
        </w:rPr>
        <w:t>初步</w:t>
      </w:r>
      <w:r>
        <w:rPr>
          <w:rFonts w:hint="eastAsia"/>
        </w:rPr>
        <w:t>建成一支职称结构、学位结构和年龄结构</w:t>
      </w:r>
      <w:r>
        <w:rPr>
          <w:rFonts w:hint="eastAsia"/>
          <w:lang w:val="en-US" w:eastAsia="zh-CN"/>
        </w:rPr>
        <w:t>较为</w:t>
      </w:r>
      <w:r>
        <w:rPr>
          <w:rFonts w:hint="eastAsia"/>
        </w:rPr>
        <w:t>合理</w:t>
      </w:r>
      <w:r>
        <w:rPr>
          <w:rFonts w:hint="eastAsia"/>
          <w:lang w:val="en-US" w:eastAsia="zh-CN"/>
        </w:rPr>
        <w:t>的</w:t>
      </w:r>
      <w:r>
        <w:rPr>
          <w:rFonts w:hint="eastAsia"/>
        </w:rPr>
        <w:t>研究生导师队伍。</w:t>
      </w:r>
      <w:r>
        <w:rPr>
          <w:rFonts w:hint="eastAsia"/>
          <w:lang w:val="en-US" w:eastAsia="zh-Hans"/>
        </w:rPr>
        <w:t>导师</w:t>
      </w:r>
      <w:r>
        <w:rPr>
          <w:rFonts w:hint="eastAsia"/>
        </w:rPr>
        <w:t>学科带头人和</w:t>
      </w:r>
      <w:r>
        <w:rPr>
          <w:rFonts w:hint="eastAsia"/>
          <w:lang w:val="en-US" w:eastAsia="zh-Hans"/>
        </w:rPr>
        <w:t>相关</w:t>
      </w:r>
      <w:r>
        <w:rPr>
          <w:rFonts w:hint="eastAsia"/>
        </w:rPr>
        <w:t>学术骨干治学严谨，具有强烈的事业心和工作责任感，学术意识强，科研水平较高，</w:t>
      </w:r>
      <w:r>
        <w:rPr>
          <w:rFonts w:hint="eastAsia"/>
          <w:lang w:val="en-US" w:eastAsia="zh-CN"/>
        </w:rPr>
        <w:t>均</w:t>
      </w:r>
      <w:r>
        <w:rPr>
          <w:rFonts w:hint="eastAsia"/>
        </w:rPr>
        <w:t>有多年指导研究生的经验。从职称结构看，正高职称14人，占比43.75%；副高职称15人，占比46.88%（见表1）。从学位结构看，获博士学位的导师20人，占比62.5%。从年龄结构看，31-40岁8人，占</w:t>
      </w:r>
      <w:r>
        <w:rPr>
          <w:rFonts w:hint="eastAsia"/>
          <w:lang w:val="en-US" w:eastAsia="zh-CN"/>
        </w:rPr>
        <w:t>比</w:t>
      </w:r>
      <w:r>
        <w:rPr>
          <w:rFonts w:hint="eastAsia"/>
        </w:rPr>
        <w:t>25%；41-50岁14人，占</w:t>
      </w:r>
      <w:r>
        <w:rPr>
          <w:rFonts w:hint="eastAsia"/>
          <w:lang w:val="en-US" w:eastAsia="zh-CN"/>
        </w:rPr>
        <w:t>比</w:t>
      </w:r>
      <w:r>
        <w:rPr>
          <w:rFonts w:hint="eastAsia"/>
        </w:rPr>
        <w:t>43.75%；51-60岁10人，点</w:t>
      </w:r>
      <w:r>
        <w:rPr>
          <w:rFonts w:hint="eastAsia"/>
          <w:lang w:val="en-US" w:eastAsia="zh-CN"/>
        </w:rPr>
        <w:t>比</w:t>
      </w:r>
      <w:r>
        <w:rPr>
          <w:rFonts w:hint="eastAsia"/>
        </w:rPr>
        <w:t>31.25%（见图2）。</w:t>
      </w:r>
      <w:r>
        <w:rPr>
          <w:rFonts w:hint="eastAsia"/>
          <w:lang w:val="en-US" w:eastAsia="zh-CN"/>
        </w:rPr>
        <w:t>目前，学位点</w:t>
      </w:r>
      <w:r>
        <w:rPr>
          <w:rFonts w:hint="eastAsia"/>
        </w:rPr>
        <w:t>生师比为</w:t>
      </w:r>
      <w:r>
        <w:rPr>
          <w:rFonts w:hint="eastAsia"/>
          <w:highlight w:val="none"/>
        </w:rPr>
        <w:t>1</w:t>
      </w:r>
      <w:r>
        <w:rPr>
          <w:rFonts w:hint="eastAsia"/>
          <w:highlight w:val="none"/>
          <w:lang w:eastAsia="zh-CN"/>
        </w:rPr>
        <w:t>：1</w:t>
      </w:r>
      <w:r>
        <w:rPr>
          <w:rFonts w:hint="eastAsia"/>
          <w:highlight w:val="none"/>
        </w:rPr>
        <w:t>.1，</w:t>
      </w:r>
      <w:r>
        <w:rPr>
          <w:rFonts w:hint="eastAsia"/>
        </w:rPr>
        <w:t>有利于</w:t>
      </w:r>
      <w:r>
        <w:rPr>
          <w:rFonts w:hint="eastAsia"/>
          <w:highlight w:val="none"/>
          <w:lang w:val="en-US" w:eastAsia="zh-CN"/>
        </w:rPr>
        <w:t>充分</w:t>
      </w:r>
      <w:r>
        <w:rPr>
          <w:rFonts w:hint="eastAsia"/>
          <w:highlight w:val="none"/>
        </w:rPr>
        <w:t>发挥“师徒制”培养模式的优势</w:t>
      </w:r>
      <w:r>
        <w:rPr>
          <w:rFonts w:hint="eastAsia"/>
          <w:highlight w:val="none"/>
          <w:lang w:eastAsia="zh-CN"/>
        </w:rPr>
        <w:t>，推行针对性教学和个性化培养，根据学生</w:t>
      </w:r>
      <w:r>
        <w:rPr>
          <w:rFonts w:hint="eastAsia"/>
          <w:highlight w:val="none"/>
          <w:lang w:val="en-US" w:eastAsia="zh-CN"/>
        </w:rPr>
        <w:t>学术</w:t>
      </w:r>
      <w:r>
        <w:rPr>
          <w:rFonts w:hint="eastAsia"/>
          <w:highlight w:val="none"/>
          <w:lang w:eastAsia="zh-CN"/>
        </w:rPr>
        <w:t>兴趣和禀赋因材施教。</w:t>
      </w:r>
    </w:p>
    <w:p>
      <w:pPr>
        <w:keepNext w:val="0"/>
        <w:keepLines w:val="0"/>
        <w:pageBreakBefore w:val="0"/>
        <w:widowControl w:val="0"/>
        <w:kinsoku/>
        <w:wordWrap/>
        <w:overflowPunct/>
        <w:topLinePunct w:val="0"/>
        <w:autoSpaceDE/>
        <w:autoSpaceDN/>
        <w:bidi w:val="0"/>
        <w:adjustRightInd/>
        <w:snapToGrid/>
        <w:spacing w:after="157" w:afterLines="50"/>
        <w:ind w:left="0" w:leftChars="0" w:firstLine="0" w:firstLineChars="0"/>
        <w:jc w:val="center"/>
        <w:textAlignment w:val="auto"/>
        <w:outlineLvl w:val="9"/>
        <w:rPr>
          <w:rFonts w:hint="eastAsia"/>
          <w:b/>
          <w:bCs/>
        </w:rPr>
      </w:pPr>
      <w:r>
        <w:rPr>
          <w:rFonts w:hint="eastAsia"/>
          <w:b/>
          <w:bCs/>
        </w:rPr>
        <w:t>表</w:t>
      </w:r>
      <w:r>
        <w:rPr>
          <w:rFonts w:hint="eastAsia"/>
          <w:b/>
          <w:bCs/>
        </w:rPr>
        <w:fldChar w:fldCharType="begin"/>
      </w:r>
      <w:r>
        <w:rPr>
          <w:rFonts w:hint="eastAsia"/>
          <w:b/>
          <w:bCs/>
        </w:rPr>
        <w:instrText xml:space="preserve"> SEQ 表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导师职称一览表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610"/>
        <w:gridCol w:w="1107"/>
        <w:gridCol w:w="697"/>
        <w:gridCol w:w="1311"/>
        <w:gridCol w:w="1238"/>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b/>
                <w:bCs/>
                <w:sz w:val="24"/>
              </w:rPr>
            </w:pPr>
            <w:r>
              <w:rPr>
                <w:rFonts w:hint="eastAsia" w:ascii="宋体" w:hAnsi="宋体" w:cs="宋体"/>
                <w:b/>
                <w:bCs/>
                <w:sz w:val="24"/>
              </w:rPr>
              <w:t>二级学科</w:t>
            </w:r>
          </w:p>
        </w:tc>
        <w:tc>
          <w:tcPr>
            <w:tcW w:w="1717" w:type="dxa"/>
            <w:gridSpan w:val="2"/>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b/>
                <w:bCs/>
                <w:sz w:val="24"/>
              </w:rPr>
            </w:pPr>
            <w:r>
              <w:rPr>
                <w:rFonts w:hint="eastAsia" w:ascii="宋体" w:hAnsi="宋体" w:cs="宋体"/>
                <w:b/>
                <w:bCs/>
                <w:sz w:val="24"/>
              </w:rPr>
              <w:t>正高（人）</w:t>
            </w:r>
          </w:p>
        </w:tc>
        <w:tc>
          <w:tcPr>
            <w:tcW w:w="2008" w:type="dxa"/>
            <w:gridSpan w:val="2"/>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b/>
                <w:bCs/>
                <w:sz w:val="24"/>
              </w:rPr>
            </w:pPr>
            <w:r>
              <w:rPr>
                <w:rFonts w:hint="eastAsia" w:ascii="宋体" w:hAnsi="宋体" w:cs="宋体"/>
                <w:b/>
                <w:bCs/>
                <w:sz w:val="24"/>
              </w:rPr>
              <w:t>副高（人）</w:t>
            </w:r>
          </w:p>
        </w:tc>
        <w:tc>
          <w:tcPr>
            <w:tcW w:w="1238" w:type="dxa"/>
            <w:noWrap w:val="0"/>
            <w:vAlign w:val="top"/>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b/>
                <w:bCs/>
                <w:sz w:val="24"/>
              </w:rPr>
            </w:pPr>
            <w:r>
              <w:rPr>
                <w:rFonts w:hint="eastAsia" w:ascii="宋体" w:hAnsi="宋体" w:cs="宋体"/>
                <w:b/>
                <w:bCs/>
                <w:sz w:val="24"/>
              </w:rPr>
              <w:t>中级（人）</w:t>
            </w:r>
          </w:p>
        </w:tc>
        <w:tc>
          <w:tcPr>
            <w:tcW w:w="1590" w:type="dxa"/>
            <w:noWrap w:val="0"/>
            <w:vAlign w:val="top"/>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b/>
                <w:bCs/>
                <w:sz w:val="24"/>
              </w:rPr>
            </w:pPr>
            <w:r>
              <w:rPr>
                <w:rFonts w:hint="eastAsia" w:ascii="宋体" w:hAnsi="宋体" w:cs="宋体"/>
                <w:b/>
                <w:bCs/>
                <w:sz w:val="24"/>
              </w:rPr>
              <w:t>合计（人）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b w:val="0"/>
                <w:bCs w:val="0"/>
                <w:sz w:val="24"/>
              </w:rPr>
            </w:pPr>
            <w:r>
              <w:rPr>
                <w:rFonts w:hint="eastAsia" w:ascii="宋体" w:hAnsi="宋体" w:cs="宋体"/>
                <w:b w:val="0"/>
                <w:bCs w:val="0"/>
                <w:sz w:val="24"/>
              </w:rPr>
              <w:t>产业经济学</w:t>
            </w:r>
          </w:p>
        </w:tc>
        <w:tc>
          <w:tcPr>
            <w:tcW w:w="610"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lang w:val="en-US" w:eastAsia="zh-CN"/>
              </w:rPr>
              <w:t>8</w:t>
            </w:r>
          </w:p>
        </w:tc>
        <w:tc>
          <w:tcPr>
            <w:tcW w:w="1107"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lang w:val="en-US" w:eastAsia="zh-CN"/>
              </w:rPr>
              <w:t>57.14</w:t>
            </w:r>
            <w:r>
              <w:rPr>
                <w:rFonts w:hint="default" w:ascii="Times New Roman" w:hAnsi="Times New Roman" w:cs="Times New Roman"/>
                <w:sz w:val="24"/>
              </w:rPr>
              <w:t>%</w:t>
            </w:r>
          </w:p>
        </w:tc>
        <w:tc>
          <w:tcPr>
            <w:tcW w:w="697"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4"/>
                <w:lang w:eastAsia="zh-CN"/>
              </w:rPr>
            </w:pPr>
            <w:r>
              <w:rPr>
                <w:rFonts w:hint="default" w:ascii="Times New Roman" w:hAnsi="Times New Roman" w:cs="Times New Roman"/>
                <w:sz w:val="24"/>
                <w:lang w:val="en-US" w:eastAsia="zh-CN"/>
              </w:rPr>
              <w:t>7</w:t>
            </w:r>
          </w:p>
        </w:tc>
        <w:tc>
          <w:tcPr>
            <w:tcW w:w="1311"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lang w:val="en-US" w:eastAsia="zh-CN"/>
              </w:rPr>
              <w:t>46.67</w:t>
            </w:r>
            <w:r>
              <w:rPr>
                <w:rFonts w:hint="default" w:ascii="Times New Roman" w:hAnsi="Times New Roman" w:cs="Times New Roman"/>
                <w:sz w:val="24"/>
              </w:rPr>
              <w:t>%</w:t>
            </w:r>
          </w:p>
        </w:tc>
        <w:tc>
          <w:tcPr>
            <w:tcW w:w="1238" w:type="dxa"/>
            <w:noWrap w:val="0"/>
            <w:vAlign w:val="top"/>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lang w:val="en-US" w:eastAsia="zh-CN"/>
              </w:rPr>
              <w:t>3</w:t>
            </w:r>
          </w:p>
        </w:tc>
        <w:tc>
          <w:tcPr>
            <w:tcW w:w="1590" w:type="dxa"/>
            <w:noWrap w:val="0"/>
            <w:vAlign w:val="top"/>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4"/>
                <w:lang w:eastAsia="zh-CN"/>
              </w:rPr>
            </w:pPr>
            <w:r>
              <w:rPr>
                <w:rFonts w:hint="default" w:ascii="Times New Roman" w:hAnsi="Times New Roman" w:cs="Times New Roman"/>
                <w:sz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b w:val="0"/>
                <w:bCs w:val="0"/>
                <w:sz w:val="24"/>
              </w:rPr>
            </w:pPr>
            <w:r>
              <w:rPr>
                <w:rFonts w:hint="eastAsia" w:ascii="宋体" w:hAnsi="宋体" w:cs="宋体"/>
                <w:b w:val="0"/>
                <w:bCs w:val="0"/>
                <w:sz w:val="24"/>
              </w:rPr>
              <w:t>区域经济学</w:t>
            </w:r>
          </w:p>
        </w:tc>
        <w:tc>
          <w:tcPr>
            <w:tcW w:w="610"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2</w:t>
            </w:r>
          </w:p>
        </w:tc>
        <w:tc>
          <w:tcPr>
            <w:tcW w:w="1107"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lang w:val="en-US" w:eastAsia="zh-CN"/>
              </w:rPr>
              <w:t>14.29</w:t>
            </w:r>
            <w:r>
              <w:rPr>
                <w:rFonts w:hint="default" w:ascii="Times New Roman" w:hAnsi="Times New Roman" w:cs="Times New Roman"/>
                <w:sz w:val="24"/>
              </w:rPr>
              <w:t>%</w:t>
            </w:r>
          </w:p>
        </w:tc>
        <w:tc>
          <w:tcPr>
            <w:tcW w:w="697"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lang w:val="en-US" w:eastAsia="zh-CN"/>
              </w:rPr>
              <w:t>2</w:t>
            </w:r>
          </w:p>
        </w:tc>
        <w:tc>
          <w:tcPr>
            <w:tcW w:w="1311"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lang w:val="en-US" w:eastAsia="zh-CN"/>
              </w:rPr>
              <w:t>13.33</w:t>
            </w:r>
            <w:r>
              <w:rPr>
                <w:rFonts w:hint="default" w:ascii="Times New Roman" w:hAnsi="Times New Roman" w:cs="Times New Roman"/>
                <w:sz w:val="24"/>
              </w:rPr>
              <w:t>%</w:t>
            </w:r>
          </w:p>
        </w:tc>
        <w:tc>
          <w:tcPr>
            <w:tcW w:w="1238" w:type="dxa"/>
            <w:noWrap w:val="0"/>
            <w:vAlign w:val="top"/>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0</w:t>
            </w:r>
          </w:p>
        </w:tc>
        <w:tc>
          <w:tcPr>
            <w:tcW w:w="1590" w:type="dxa"/>
            <w:noWrap w:val="0"/>
            <w:vAlign w:val="top"/>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b w:val="0"/>
                <w:bCs w:val="0"/>
                <w:sz w:val="24"/>
              </w:rPr>
            </w:pPr>
            <w:r>
              <w:rPr>
                <w:rFonts w:hint="eastAsia" w:ascii="宋体" w:hAnsi="宋体" w:cs="宋体"/>
                <w:b w:val="0"/>
                <w:bCs w:val="0"/>
                <w:sz w:val="24"/>
              </w:rPr>
              <w:t>金融学</w:t>
            </w:r>
          </w:p>
        </w:tc>
        <w:tc>
          <w:tcPr>
            <w:tcW w:w="610"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4"/>
                <w:lang w:eastAsia="zh-CN"/>
              </w:rPr>
            </w:pPr>
            <w:r>
              <w:rPr>
                <w:rFonts w:hint="default" w:ascii="Times New Roman" w:hAnsi="Times New Roman" w:cs="Times New Roman"/>
                <w:sz w:val="24"/>
                <w:lang w:val="en-US" w:eastAsia="zh-CN"/>
              </w:rPr>
              <w:t>2</w:t>
            </w:r>
          </w:p>
        </w:tc>
        <w:tc>
          <w:tcPr>
            <w:tcW w:w="1107"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lang w:val="en-US" w:eastAsia="zh-CN"/>
              </w:rPr>
              <w:t>14.29</w:t>
            </w:r>
            <w:r>
              <w:rPr>
                <w:rFonts w:hint="default" w:ascii="Times New Roman" w:hAnsi="Times New Roman" w:cs="Times New Roman"/>
                <w:sz w:val="24"/>
              </w:rPr>
              <w:t>%</w:t>
            </w:r>
          </w:p>
        </w:tc>
        <w:tc>
          <w:tcPr>
            <w:tcW w:w="697"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4"/>
                <w:lang w:eastAsia="zh-CN"/>
              </w:rPr>
            </w:pPr>
            <w:r>
              <w:rPr>
                <w:rFonts w:hint="default" w:ascii="Times New Roman" w:hAnsi="Times New Roman" w:cs="Times New Roman"/>
                <w:sz w:val="24"/>
                <w:lang w:val="en-US" w:eastAsia="zh-CN"/>
              </w:rPr>
              <w:t>2</w:t>
            </w:r>
          </w:p>
        </w:tc>
        <w:tc>
          <w:tcPr>
            <w:tcW w:w="1311"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lang w:val="en-US" w:eastAsia="zh-CN"/>
              </w:rPr>
              <w:t>13.33</w:t>
            </w:r>
            <w:r>
              <w:rPr>
                <w:rFonts w:hint="default" w:ascii="Times New Roman" w:hAnsi="Times New Roman" w:cs="Times New Roman"/>
                <w:sz w:val="24"/>
              </w:rPr>
              <w:t>%</w:t>
            </w:r>
          </w:p>
        </w:tc>
        <w:tc>
          <w:tcPr>
            <w:tcW w:w="1238" w:type="dxa"/>
            <w:noWrap w:val="0"/>
            <w:vAlign w:val="top"/>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0</w:t>
            </w:r>
          </w:p>
        </w:tc>
        <w:tc>
          <w:tcPr>
            <w:tcW w:w="1590" w:type="dxa"/>
            <w:noWrap w:val="0"/>
            <w:vAlign w:val="top"/>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b w:val="0"/>
                <w:bCs w:val="0"/>
                <w:sz w:val="24"/>
              </w:rPr>
            </w:pPr>
            <w:r>
              <w:rPr>
                <w:rFonts w:hint="eastAsia" w:ascii="宋体" w:hAnsi="宋体" w:cs="宋体"/>
                <w:b w:val="0"/>
                <w:bCs w:val="0"/>
                <w:sz w:val="24"/>
              </w:rPr>
              <w:t>国际贸易学</w:t>
            </w:r>
          </w:p>
        </w:tc>
        <w:tc>
          <w:tcPr>
            <w:tcW w:w="610"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2</w:t>
            </w:r>
          </w:p>
        </w:tc>
        <w:tc>
          <w:tcPr>
            <w:tcW w:w="1107"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lang w:val="en-US" w:eastAsia="zh-CN"/>
              </w:rPr>
              <w:t>14.29</w:t>
            </w:r>
            <w:r>
              <w:rPr>
                <w:rFonts w:hint="default" w:ascii="Times New Roman" w:hAnsi="Times New Roman" w:cs="Times New Roman"/>
                <w:sz w:val="24"/>
              </w:rPr>
              <w:t>%</w:t>
            </w:r>
          </w:p>
        </w:tc>
        <w:tc>
          <w:tcPr>
            <w:tcW w:w="697"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4</w:t>
            </w:r>
          </w:p>
        </w:tc>
        <w:tc>
          <w:tcPr>
            <w:tcW w:w="1311"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lang w:val="en-US" w:eastAsia="zh-CN"/>
              </w:rPr>
              <w:t>26.67</w:t>
            </w:r>
            <w:r>
              <w:rPr>
                <w:rFonts w:hint="default" w:ascii="Times New Roman" w:hAnsi="Times New Roman" w:cs="Times New Roman"/>
                <w:sz w:val="24"/>
              </w:rPr>
              <w:t>%</w:t>
            </w:r>
          </w:p>
        </w:tc>
        <w:tc>
          <w:tcPr>
            <w:tcW w:w="1238" w:type="dxa"/>
            <w:noWrap w:val="0"/>
            <w:vAlign w:val="top"/>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0</w:t>
            </w:r>
          </w:p>
        </w:tc>
        <w:tc>
          <w:tcPr>
            <w:tcW w:w="1590" w:type="dxa"/>
            <w:noWrap w:val="0"/>
            <w:vAlign w:val="top"/>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b w:val="0"/>
                <w:bCs w:val="0"/>
                <w:sz w:val="24"/>
              </w:rPr>
            </w:pPr>
            <w:r>
              <w:rPr>
                <w:rFonts w:hint="eastAsia" w:ascii="宋体" w:hAnsi="宋体" w:cs="宋体"/>
                <w:b/>
                <w:bCs/>
                <w:sz w:val="24"/>
              </w:rPr>
              <w:t>合计（人）</w:t>
            </w:r>
          </w:p>
        </w:tc>
        <w:tc>
          <w:tcPr>
            <w:tcW w:w="610"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4"/>
                <w:lang w:eastAsia="zh-CN"/>
              </w:rPr>
            </w:pPr>
            <w:r>
              <w:rPr>
                <w:rFonts w:hint="default" w:ascii="Times New Roman" w:hAnsi="Times New Roman" w:cs="Times New Roman"/>
                <w:sz w:val="24"/>
              </w:rPr>
              <w:t>1</w:t>
            </w:r>
            <w:r>
              <w:rPr>
                <w:rFonts w:hint="default" w:ascii="Times New Roman" w:hAnsi="Times New Roman" w:cs="Times New Roman"/>
                <w:sz w:val="24"/>
                <w:lang w:val="en-US" w:eastAsia="zh-CN"/>
              </w:rPr>
              <w:t>4</w:t>
            </w:r>
          </w:p>
        </w:tc>
        <w:tc>
          <w:tcPr>
            <w:tcW w:w="1107"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p>
        </w:tc>
        <w:tc>
          <w:tcPr>
            <w:tcW w:w="697"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4"/>
                <w:lang w:eastAsia="zh-CN"/>
              </w:rPr>
            </w:pPr>
            <w:r>
              <w:rPr>
                <w:rFonts w:hint="default" w:ascii="Times New Roman" w:hAnsi="Times New Roman" w:cs="Times New Roman"/>
                <w:sz w:val="24"/>
              </w:rPr>
              <w:t>1</w:t>
            </w:r>
            <w:r>
              <w:rPr>
                <w:rFonts w:hint="default" w:ascii="Times New Roman" w:hAnsi="Times New Roman" w:cs="Times New Roman"/>
                <w:sz w:val="24"/>
                <w:lang w:val="en-US" w:eastAsia="zh-CN"/>
              </w:rPr>
              <w:t>5</w:t>
            </w:r>
          </w:p>
        </w:tc>
        <w:tc>
          <w:tcPr>
            <w:tcW w:w="1311"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p>
        </w:tc>
        <w:tc>
          <w:tcPr>
            <w:tcW w:w="1238" w:type="dxa"/>
            <w:noWrap w:val="0"/>
            <w:vAlign w:val="top"/>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lang w:val="en-US" w:eastAsia="zh-CN"/>
              </w:rPr>
              <w:t>3</w:t>
            </w:r>
          </w:p>
        </w:tc>
        <w:tc>
          <w:tcPr>
            <w:tcW w:w="1590" w:type="dxa"/>
            <w:noWrap w:val="0"/>
            <w:vAlign w:val="top"/>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4"/>
                <w:lang w:eastAsia="zh-CN"/>
              </w:rPr>
            </w:pPr>
            <w:r>
              <w:rPr>
                <w:rFonts w:hint="default" w:ascii="Times New Roman" w:hAnsi="Times New Roman" w:cs="Times New Roman"/>
                <w:sz w:val="24"/>
              </w:rPr>
              <w:t>3</w:t>
            </w:r>
            <w:r>
              <w:rPr>
                <w:rFonts w:hint="default" w:ascii="Times New Roman" w:hAnsi="Times New Roman" w:cs="Times New Roman"/>
                <w:sz w:val="24"/>
                <w:lang w:val="en-US" w:eastAsia="zh-CN"/>
              </w:rPr>
              <w:t>2</w:t>
            </w:r>
          </w:p>
        </w:tc>
      </w:tr>
    </w:tbl>
    <w:p>
      <w:pPr>
        <w:spacing w:before="313" w:beforeLines="100"/>
        <w:ind w:left="0" w:leftChars="0" w:firstLine="0" w:firstLineChars="0"/>
        <w:jc w:val="center"/>
      </w:pPr>
      <w:bookmarkStart w:id="29" w:name="_Toc101036325"/>
      <w:r>
        <w:drawing>
          <wp:inline distT="0" distB="0" distL="114300" distR="114300">
            <wp:extent cx="3951605" cy="2212340"/>
            <wp:effectExtent l="0" t="0" r="1079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tretch>
                      <a:fillRect/>
                    </a:stretch>
                  </pic:blipFill>
                  <pic:spPr>
                    <a:xfrm>
                      <a:off x="0" y="0"/>
                      <a:ext cx="3951605" cy="2212340"/>
                    </a:xfrm>
                    <a:prstGeom prst="rect">
                      <a:avLst/>
                    </a:prstGeom>
                    <a:noFill/>
                    <a:ln>
                      <a:noFill/>
                    </a:ln>
                  </pic:spPr>
                </pic:pic>
              </a:graphicData>
            </a:graphic>
          </wp:inline>
        </w:drawing>
      </w:r>
    </w:p>
    <w:p>
      <w:pPr>
        <w:spacing w:after="157" w:afterLines="50"/>
        <w:ind w:left="0" w:leftChars="0" w:firstLine="0" w:firstLineChars="0"/>
        <w:jc w:val="center"/>
        <w:rPr>
          <w:rFonts w:hint="default" w:eastAsia="宋体"/>
          <w:b/>
          <w:bCs/>
          <w:lang w:val="en-US" w:eastAsia="zh-CN"/>
        </w:rPr>
      </w:pPr>
      <w:r>
        <w:rPr>
          <w:rFonts w:hint="eastAsia" w:ascii="Times New Roman" w:eastAsia="宋体"/>
          <w:b/>
          <w:bCs/>
          <w:lang w:val="en-US" w:eastAsia="zh-CN"/>
        </w:rPr>
        <w:t>图2 研究生导师年龄分布情况</w:t>
      </w:r>
    </w:p>
    <w:p>
      <w:pPr>
        <w:pStyle w:val="4"/>
        <w:keepNext w:val="0"/>
        <w:keepLines w:val="0"/>
        <w:widowControl w:val="0"/>
        <w:ind w:firstLine="602" w:firstLineChars="200"/>
        <w:rPr>
          <w:rFonts w:hint="eastAsia" w:eastAsia="黑体"/>
          <w:lang w:eastAsia="zh-CN"/>
        </w:rPr>
      </w:pPr>
      <w:bookmarkStart w:id="30" w:name="_Toc28232"/>
      <w:bookmarkStart w:id="31" w:name="_Toc25033"/>
      <w:r>
        <w:rPr>
          <w:rFonts w:hint="eastAsia"/>
        </w:rPr>
        <w:t>（</w:t>
      </w:r>
      <w:r>
        <w:rPr>
          <w:rFonts w:hint="eastAsia"/>
          <w:lang w:val="en-US" w:eastAsia="zh-CN"/>
        </w:rPr>
        <w:t>五</w:t>
      </w:r>
      <w:r>
        <w:rPr>
          <w:rFonts w:hint="eastAsia"/>
          <w:color w:val="auto"/>
        </w:rPr>
        <w:t>）</w:t>
      </w:r>
      <w:r>
        <w:rPr>
          <w:rFonts w:hint="eastAsia"/>
          <w:color w:val="auto"/>
          <w:highlight w:val="none"/>
          <w:lang w:val="en-US" w:eastAsia="zh-CN"/>
        </w:rPr>
        <w:t>科研支撑平台</w:t>
      </w:r>
      <w:bookmarkEnd w:id="30"/>
      <w:bookmarkEnd w:id="3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ighlight w:val="none"/>
          <w:lang w:eastAsia="zh-CN"/>
        </w:rPr>
      </w:pPr>
      <w:r>
        <w:rPr>
          <w:rFonts w:hint="eastAsia"/>
        </w:rPr>
        <w:t>本学位点充分利用</w:t>
      </w:r>
      <w:r>
        <w:rPr>
          <w:rFonts w:hint="eastAsia"/>
          <w:lang w:val="en-US" w:eastAsia="zh-CN"/>
        </w:rPr>
        <w:t>社科</w:t>
      </w:r>
      <w:r>
        <w:rPr>
          <w:rFonts w:hint="eastAsia"/>
        </w:rPr>
        <w:t>院建立的各类科研平台、实践基地，</w:t>
      </w:r>
      <w:r>
        <w:rPr>
          <w:rFonts w:hint="eastAsia"/>
          <w:highlight w:val="none"/>
        </w:rPr>
        <w:t>为研究生开展科研创新、社会实践、考察调研等提供了有力保障。</w:t>
      </w:r>
      <w:r>
        <w:rPr>
          <w:rFonts w:hint="eastAsia"/>
          <w:highlight w:val="none"/>
          <w:lang w:val="en-US" w:eastAsia="zh-CN"/>
        </w:rPr>
        <w:t>具体</w:t>
      </w:r>
      <w:r>
        <w:rPr>
          <w:rFonts w:hint="eastAsia"/>
          <w:highlight w:val="none"/>
        </w:rPr>
        <w:t>包括</w:t>
      </w:r>
      <w:r>
        <w:rPr>
          <w:rFonts w:hint="default"/>
          <w:highlight w:val="none"/>
        </w:rPr>
        <w:t>：</w:t>
      </w:r>
      <w:r>
        <w:rPr>
          <w:rFonts w:hint="eastAsia"/>
          <w:highlight w:val="none"/>
        </w:rPr>
        <w:t>广东省习近平新时代中国特色社会主义思想研究中心、中国特色社会主义研究中心2个国家级研究平台和</w:t>
      </w:r>
      <w:r>
        <w:rPr>
          <w:rFonts w:hint="eastAsia"/>
          <w:highlight w:val="none"/>
          <w:lang w:val="en-US" w:eastAsia="zh-CN"/>
        </w:rPr>
        <w:t>广东</w:t>
      </w:r>
      <w:r>
        <w:rPr>
          <w:rFonts w:hint="eastAsia"/>
          <w:highlight w:val="none"/>
        </w:rPr>
        <w:t>省</w:t>
      </w:r>
      <w:r>
        <w:rPr>
          <w:rFonts w:hint="eastAsia"/>
        </w:rPr>
        <w:t>哲学社会科学</w:t>
      </w:r>
      <w:r>
        <w:rPr>
          <w:rFonts w:hint="eastAsia"/>
          <w:highlight w:val="none"/>
        </w:rPr>
        <w:t>“海洋强国建设”重点实验室、广东省博士后实践创新基地等5个省级平台</w:t>
      </w:r>
      <w:r>
        <w:rPr>
          <w:rFonts w:hint="eastAsia"/>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宋体"/>
          <w:highlight w:val="none"/>
          <w:lang w:val="en-US" w:eastAsia="zh-CN"/>
        </w:rPr>
      </w:pPr>
      <w:r>
        <w:rPr>
          <w:rFonts w:hint="eastAsia" w:eastAsia="宋体"/>
          <w:lang w:eastAsia="zh-Hans"/>
        </w:rPr>
        <w:t>各</w:t>
      </w:r>
      <w:r>
        <w:rPr>
          <w:rFonts w:hint="eastAsia"/>
        </w:rPr>
        <w:t>实验室</w:t>
      </w:r>
      <w:r>
        <w:t>（</w:t>
      </w:r>
      <w:r>
        <w:rPr>
          <w:rFonts w:hint="eastAsia" w:eastAsia="宋体"/>
          <w:lang w:eastAsia="zh-Hans"/>
        </w:rPr>
        <w:t>平台</w:t>
      </w:r>
      <w:r>
        <w:rPr>
          <w:lang w:eastAsia="zh-Hans"/>
        </w:rPr>
        <w:t>、</w:t>
      </w:r>
      <w:r>
        <w:rPr>
          <w:rFonts w:hint="eastAsia" w:eastAsia="宋体"/>
          <w:lang w:eastAsia="zh-Hans"/>
        </w:rPr>
        <w:t>基地</w:t>
      </w:r>
      <w:r>
        <w:rPr>
          <w:lang w:eastAsia="zh-Hans"/>
        </w:rPr>
        <w:t>）</w:t>
      </w:r>
      <w:r>
        <w:rPr>
          <w:rFonts w:hint="eastAsia" w:eastAsia="宋体"/>
          <w:lang w:eastAsia="zh-Hans"/>
        </w:rPr>
        <w:t>不断</w:t>
      </w:r>
      <w:r>
        <w:rPr>
          <w:rFonts w:hint="eastAsia"/>
        </w:rPr>
        <w:t>强化执行力、突出创新力、提高影响力。其中，</w:t>
      </w:r>
      <w:r>
        <w:rPr>
          <w:rFonts w:hint="eastAsia"/>
          <w:lang w:val="en-US" w:eastAsia="zh-CN"/>
        </w:rPr>
        <w:t>广东</w:t>
      </w:r>
      <w:r>
        <w:rPr>
          <w:rFonts w:hint="eastAsia"/>
        </w:rPr>
        <w:t>省哲学社会科学“海洋强国建设”重点实验室于2022年由广东省社科联批准设立，是本学位点特色人才培养的重要平台和实践基地。2023年，</w:t>
      </w:r>
      <w:r>
        <w:rPr>
          <w:rFonts w:hint="eastAsia"/>
          <w:lang w:val="en-US" w:eastAsia="zh-CN"/>
        </w:rPr>
        <w:t>广东</w:t>
      </w:r>
      <w:r>
        <w:rPr>
          <w:rFonts w:hint="eastAsia"/>
        </w:rPr>
        <w:t>省哲学社会科学“海洋强国建设”重点实验室紧密围绕中央及省委省政府“海洋强国”、“海洋强省”战略任务开展决策咨询研究，报送《广东构建现代海洋产业体系，加快建设海洋强省研究报告》等决策咨询报告7篇，获省委省政府主要领导肯定性批示4篇；围绕广东14个沿海城市持续开展跟踪调研，在珠海、汕尾、阳江、湛江等多地设立海洋合作基地，设立多个海洋经济运行监测点，为地方海洋经济高质量发展问诊把脉，高质量完成《广东省海洋清洁能源产业集群调研报告》、《广东省海洋旅游产业集群调研报告》等多篇调研报告；积极申报并承担国家及省级社科规划课题、省委省政府委托的重大交办课题5项，</w:t>
      </w:r>
      <w:r>
        <w:rPr>
          <w:rFonts w:hint="eastAsia" w:eastAsia="宋体"/>
          <w:lang w:eastAsia="zh-Hans"/>
        </w:rPr>
        <w:t>成为</w:t>
      </w:r>
      <w:r>
        <w:rPr>
          <w:rFonts w:hint="eastAsia"/>
        </w:rPr>
        <w:t>具有全国影响力的海洋理论研究重要阵地</w:t>
      </w:r>
      <w:r>
        <w:rPr>
          <w:rFonts w:hint="eastAsia"/>
          <w:highlight w:val="none"/>
          <w:lang w:val="en-US" w:eastAsia="zh-CN"/>
        </w:rPr>
        <w:t>。</w:t>
      </w:r>
    </w:p>
    <w:p>
      <w:pPr>
        <w:pStyle w:val="3"/>
        <w:keepNext w:val="0"/>
        <w:keepLines w:val="0"/>
        <w:widowControl w:val="0"/>
        <w:ind w:firstLine="723" w:firstLineChars="200"/>
        <w:rPr>
          <w:rFonts w:hint="eastAsia"/>
        </w:rPr>
      </w:pPr>
      <w:bookmarkStart w:id="32" w:name="_Toc2134"/>
      <w:bookmarkStart w:id="33" w:name="_Toc12179"/>
      <w:bookmarkStart w:id="34" w:name="_Toc127664218"/>
      <w:bookmarkStart w:id="35" w:name="_Toc7321"/>
      <w:bookmarkStart w:id="36" w:name="_Toc23856"/>
      <w:r>
        <w:rPr>
          <w:rFonts w:hint="eastAsia"/>
        </w:rPr>
        <w:t>二、党建与思想政治教育工作</w:t>
      </w:r>
      <w:bookmarkEnd w:id="32"/>
      <w:bookmarkEnd w:id="33"/>
      <w:bookmarkEnd w:id="34"/>
      <w:bookmarkEnd w:id="35"/>
      <w:bookmarkEnd w:id="36"/>
    </w:p>
    <w:p>
      <w:pPr>
        <w:pStyle w:val="4"/>
        <w:keepNext w:val="0"/>
        <w:keepLines w:val="0"/>
        <w:widowControl w:val="0"/>
        <w:ind w:firstLine="602" w:firstLineChars="200"/>
        <w:rPr>
          <w:rFonts w:hint="eastAsia" w:eastAsia="黑体"/>
          <w:lang w:eastAsia="zh-CN"/>
        </w:rPr>
      </w:pPr>
      <w:bookmarkStart w:id="37" w:name="_Toc12427"/>
      <w:bookmarkStart w:id="38" w:name="_Toc13290"/>
      <w:bookmarkStart w:id="39" w:name="_Toc7898"/>
      <w:bookmarkStart w:id="40" w:name="_Toc20224"/>
      <w:bookmarkStart w:id="41" w:name="_Toc127664219"/>
      <w:r>
        <w:rPr>
          <w:rFonts w:hint="eastAsia"/>
        </w:rPr>
        <w:t>（一）党建和思想政治工作</w:t>
      </w:r>
      <w:bookmarkEnd w:id="37"/>
      <w:bookmarkEnd w:id="38"/>
      <w:bookmarkEnd w:id="39"/>
      <w:bookmarkEnd w:id="40"/>
      <w:bookmarkEnd w:id="41"/>
    </w:p>
    <w:p>
      <w:pPr>
        <w:ind w:firstLine="480"/>
        <w:rPr>
          <w:rFonts w:hint="eastAsia" w:cs="Times New Roman"/>
          <w:highlight w:val="none"/>
          <w:lang w:val="en-US" w:eastAsia="zh-CN"/>
        </w:rPr>
      </w:pPr>
      <w:r>
        <w:rPr>
          <w:rFonts w:hint="eastAsia" w:ascii="Times New Roman" w:hAnsi="Times New Roman" w:eastAsia="宋体" w:cs="Times New Roman"/>
        </w:rPr>
        <w:t>院研究生部党支部以</w:t>
      </w:r>
      <w:r>
        <w:rPr>
          <w:rFonts w:hint="eastAsia" w:cs="Times New Roman"/>
          <w:lang w:eastAsia="zh-Hans"/>
        </w:rPr>
        <w:t>“</w:t>
      </w:r>
      <w:r>
        <w:rPr>
          <w:rFonts w:hint="eastAsia" w:ascii="Times New Roman" w:hAnsi="Times New Roman" w:eastAsia="宋体" w:cs="Times New Roman"/>
        </w:rPr>
        <w:t>老师党小组</w:t>
      </w:r>
      <w:r>
        <w:rPr>
          <w:rFonts w:hint="default" w:cs="Times New Roman"/>
        </w:rPr>
        <w:t>+</w:t>
      </w:r>
      <w:r>
        <w:rPr>
          <w:rFonts w:hint="eastAsia" w:ascii="Times New Roman" w:hAnsi="Times New Roman" w:eastAsia="宋体" w:cs="Times New Roman"/>
        </w:rPr>
        <w:t>学生党小组</w:t>
      </w:r>
      <w:r>
        <w:rPr>
          <w:rFonts w:hint="eastAsia" w:cs="Times New Roman"/>
          <w:lang w:eastAsia="zh-Hans"/>
        </w:rPr>
        <w:t>”</w:t>
      </w:r>
      <w:r>
        <w:rPr>
          <w:rFonts w:hint="eastAsia" w:cs="Times New Roman"/>
          <w:lang w:val="en-US" w:eastAsia="zh-Hans"/>
        </w:rPr>
        <w:t>双轮驱动</w:t>
      </w:r>
      <w:r>
        <w:rPr>
          <w:rFonts w:hint="eastAsia" w:ascii="Times New Roman" w:hAnsi="Times New Roman" w:eastAsia="宋体" w:cs="Times New Roman"/>
        </w:rPr>
        <w:t>，</w:t>
      </w:r>
      <w:r>
        <w:rPr>
          <w:rFonts w:hint="eastAsia" w:cs="Times New Roman"/>
          <w:lang w:val="en-US" w:eastAsia="zh-Hans"/>
        </w:rPr>
        <w:t>在党建和思政工作方面主要开展活动如下</w:t>
      </w:r>
      <w:r>
        <w:rPr>
          <w:rFonts w:hint="eastAsia" w:ascii="Times New Roman" w:hAnsi="Times New Roman" w:eastAsia="宋体" w:cs="Times New Roman"/>
          <w:highlight w:val="none"/>
        </w:rPr>
        <w:t>。</w:t>
      </w:r>
    </w:p>
    <w:p>
      <w:pPr>
        <w:numPr>
          <w:ilvl w:val="-1"/>
          <w:numId w:val="0"/>
        </w:numPr>
        <w:ind w:firstLine="480"/>
        <w:rPr>
          <w:rFonts w:hint="eastAsia" w:cs="Times New Roman"/>
          <w:highlight w:val="none"/>
          <w:lang w:val="en-US" w:eastAsia="zh-CN"/>
        </w:rPr>
      </w:pPr>
      <w:r>
        <w:rPr>
          <w:rFonts w:hint="eastAsia" w:cs="Times New Roman"/>
          <w:b/>
          <w:bCs/>
          <w:highlight w:val="none"/>
          <w:lang w:val="en-US" w:eastAsia="zh-CN"/>
        </w:rPr>
        <w:t>1.以主题教育为统领</w:t>
      </w:r>
      <w:r>
        <w:rPr>
          <w:rFonts w:hint="default" w:cs="Times New Roman"/>
          <w:b/>
          <w:bCs/>
          <w:highlight w:val="none"/>
          <w:lang w:eastAsia="zh-CN"/>
        </w:rPr>
        <w:t>，</w:t>
      </w:r>
      <w:r>
        <w:rPr>
          <w:rFonts w:hint="eastAsia" w:cs="Times New Roman"/>
          <w:b/>
          <w:bCs/>
          <w:highlight w:val="none"/>
          <w:lang w:val="en-US" w:eastAsia="zh-CN"/>
        </w:rPr>
        <w:t>提升</w:t>
      </w:r>
      <w:r>
        <w:rPr>
          <w:rFonts w:hint="eastAsia" w:cs="Times New Roman"/>
          <w:b/>
          <w:bCs/>
          <w:highlight w:val="none"/>
          <w:lang w:val="en-US" w:eastAsia="zh-Hans"/>
        </w:rPr>
        <w:t>师生思政</w:t>
      </w:r>
      <w:r>
        <w:rPr>
          <w:rFonts w:hint="eastAsia" w:cs="Times New Roman"/>
          <w:b/>
          <w:bCs/>
          <w:highlight w:val="none"/>
          <w:lang w:val="en-US" w:eastAsia="zh-CN"/>
        </w:rPr>
        <w:t>教育质量</w:t>
      </w:r>
    </w:p>
    <w:p>
      <w:pPr>
        <w:numPr>
          <w:ilvl w:val="-1"/>
          <w:numId w:val="0"/>
        </w:numPr>
        <w:ind w:firstLine="480"/>
        <w:rPr>
          <w:rFonts w:hint="eastAsia" w:cs="Times New Roman"/>
          <w:lang w:val="en-US" w:eastAsia="zh-CN"/>
        </w:rPr>
      </w:pPr>
      <w:r>
        <w:rPr>
          <w:rFonts w:hint="eastAsia" w:ascii="Times New Roman" w:hAnsi="Times New Roman" w:eastAsia="宋体" w:cs="Times New Roman"/>
          <w:lang w:val="en-US" w:eastAsia="zh-CN"/>
        </w:rPr>
        <w:t>202</w:t>
      </w:r>
      <w:r>
        <w:rPr>
          <w:rFonts w:hint="eastAsia" w:cs="Times New Roman"/>
          <w:lang w:val="en-US" w:eastAsia="zh-CN"/>
        </w:rPr>
        <w:t>3</w:t>
      </w:r>
      <w:r>
        <w:rPr>
          <w:rFonts w:hint="eastAsia" w:ascii="Times New Roman" w:hAnsi="Times New Roman" w:eastAsia="宋体" w:cs="Times New Roman"/>
          <w:lang w:val="en-US" w:eastAsia="zh-CN"/>
        </w:rPr>
        <w:t>年，</w:t>
      </w:r>
      <w:r>
        <w:rPr>
          <w:rFonts w:hint="eastAsia" w:ascii="Times New Roman" w:hAnsi="Times New Roman" w:eastAsia="宋体" w:cs="Times New Roman"/>
        </w:rPr>
        <w:t>研究生党支部</w:t>
      </w:r>
      <w:r>
        <w:rPr>
          <w:rFonts w:hint="eastAsia" w:cs="Times New Roman"/>
          <w:lang w:val="en-US" w:eastAsia="zh-CN"/>
        </w:rPr>
        <w:t>以学习贯彻习近平新时代中国特色社会主义思想主题教育为契机，</w:t>
      </w:r>
      <w:r>
        <w:rPr>
          <w:rFonts w:hint="eastAsia" w:ascii="Times New Roman" w:hAnsi="Times New Roman" w:eastAsia="宋体" w:cs="Times New Roman"/>
        </w:rPr>
        <w:t>通过</w:t>
      </w:r>
      <w:r>
        <w:rPr>
          <w:rFonts w:hint="eastAsia" w:cs="Times New Roman"/>
          <w:lang w:val="en-US" w:eastAsia="zh-CN"/>
        </w:rPr>
        <w:t>书记</w:t>
      </w:r>
      <w:r>
        <w:rPr>
          <w:rFonts w:hint="eastAsia" w:ascii="Times New Roman" w:hAnsi="Times New Roman" w:eastAsia="宋体" w:cs="Times New Roman"/>
        </w:rPr>
        <w:t>院长讲党课、专家学者讲党课、学生党员讲党课等多种</w:t>
      </w:r>
      <w:r>
        <w:rPr>
          <w:rFonts w:hint="eastAsia" w:cs="Times New Roman"/>
          <w:lang w:val="en-US" w:eastAsia="zh-CN"/>
        </w:rPr>
        <w:t>形式</w:t>
      </w:r>
      <w:r>
        <w:rPr>
          <w:rFonts w:hint="eastAsia" w:ascii="Times New Roman" w:hAnsi="Times New Roman" w:eastAsia="宋体" w:cs="Times New Roman"/>
        </w:rPr>
        <w:t>，</w:t>
      </w:r>
      <w:r>
        <w:rPr>
          <w:rFonts w:hint="eastAsia" w:cs="Times New Roman"/>
          <w:lang w:val="en-US" w:eastAsia="zh-CN"/>
        </w:rPr>
        <w:t>在主题教育中引导学生党员切实用党的创新理论武装头脑，不断提高政治判断力、政治领悟力、政治执行力</w:t>
      </w:r>
      <w:r>
        <w:rPr>
          <w:rFonts w:hint="eastAsia" w:ascii="Times New Roman" w:hAnsi="Times New Roman" w:eastAsia="宋体" w:cs="Times New Roman"/>
        </w:rPr>
        <w:t>。</w:t>
      </w:r>
      <w:r>
        <w:rPr>
          <w:rFonts w:hint="eastAsia" w:cs="Times New Roman"/>
          <w:lang w:val="en-US" w:eastAsia="zh-CN"/>
        </w:rPr>
        <w:t>全年</w:t>
      </w:r>
      <w:r>
        <w:rPr>
          <w:rFonts w:hint="eastAsia"/>
        </w:rPr>
        <w:t>党</w:t>
      </w:r>
      <w:r>
        <w:rPr>
          <w:rFonts w:hint="eastAsia" w:ascii="Times New Roman" w:hAnsi="Times New Roman" w:eastAsia="宋体" w:cs="Times New Roman"/>
        </w:rPr>
        <w:t>支部陆续开展了题为“思想旗帜”“坚强核心”“强国复兴”“挺膺担当”的专题教育和“大思政课专题讲座”</w:t>
      </w:r>
      <w:r>
        <w:rPr>
          <w:rFonts w:hint="eastAsia" w:cs="Times New Roman"/>
          <w:lang w:eastAsia="zh-CN"/>
        </w:rPr>
        <w:t>（</w:t>
      </w:r>
      <w:r>
        <w:rPr>
          <w:rFonts w:hint="eastAsia" w:cs="Times New Roman"/>
          <w:lang w:val="en-US" w:eastAsia="zh-CN"/>
        </w:rPr>
        <w:t>见表2</w:t>
      </w:r>
      <w:r>
        <w:rPr>
          <w:rFonts w:hint="eastAsia" w:cs="Times New Roman"/>
          <w:lang w:eastAsia="zh-CN"/>
        </w:rPr>
        <w:t>）</w:t>
      </w:r>
      <w:r>
        <w:rPr>
          <w:rFonts w:hint="eastAsia" w:ascii="Times New Roman" w:hAnsi="Times New Roman" w:eastAsia="宋体" w:cs="Times New Roman"/>
        </w:rPr>
        <w:t>，内容涉及政治理论教育、国家安全教育、心理健康教育、爱国主义教育等方面</w:t>
      </w:r>
      <w:r>
        <w:rPr>
          <w:rFonts w:hint="eastAsia" w:cs="Times New Roman"/>
          <w:lang w:val="en-US" w:eastAsia="zh-CN"/>
        </w:rPr>
        <w:t>。通过</w:t>
      </w:r>
      <w:r>
        <w:rPr>
          <w:rFonts w:hint="eastAsia" w:ascii="Times New Roman" w:hAnsi="Times New Roman" w:eastAsia="宋体" w:cs="Times New Roman"/>
          <w:lang w:val="en-US" w:eastAsia="zh-CN"/>
        </w:rPr>
        <w:t>组织学习贯彻党的二十大精神、</w:t>
      </w:r>
      <w:r>
        <w:rPr>
          <w:rFonts w:hint="eastAsia" w:cs="Times New Roman"/>
          <w:lang w:val="en-US" w:eastAsia="zh-CN"/>
        </w:rPr>
        <w:t>参与</w:t>
      </w:r>
      <w:r>
        <w:rPr>
          <w:rFonts w:hint="eastAsia" w:ascii="Times New Roman" w:hAnsi="Times New Roman" w:eastAsia="宋体" w:cs="Times New Roman"/>
          <w:lang w:val="en-US" w:eastAsia="zh-CN"/>
        </w:rPr>
        <w:t>学习贯彻习近平新时代中国特色社会主义思想主题教育青年读书会</w:t>
      </w:r>
      <w:r>
        <w:rPr>
          <w:rFonts w:hint="eastAsia" w:cs="Times New Roman"/>
          <w:lang w:val="en-US" w:eastAsia="zh-CN"/>
        </w:rPr>
        <w:t>、</w:t>
      </w:r>
      <w:r>
        <w:rPr>
          <w:rFonts w:hint="eastAsia" w:ascii="Times New Roman" w:hAnsi="Times New Roman" w:eastAsia="宋体" w:cs="Times New Roman"/>
          <w:lang w:val="en-US" w:eastAsia="zh-CN"/>
        </w:rPr>
        <w:t>观看红色教育影片</w:t>
      </w:r>
      <w:r>
        <w:rPr>
          <w:rFonts w:hint="eastAsia" w:ascii="宋体" w:hAnsi="宋体" w:eastAsia="宋体" w:cs="宋体"/>
          <w:i w:val="0"/>
          <w:iCs w:val="0"/>
          <w:color w:val="000000"/>
          <w:kern w:val="0"/>
          <w:sz w:val="24"/>
          <w:szCs w:val="24"/>
          <w:u w:val="none"/>
          <w:lang w:val="en-US" w:eastAsia="zh-CN" w:bidi="ar"/>
        </w:rPr>
        <w:t>《志愿军：雄兵出击》</w:t>
      </w:r>
      <w:r>
        <w:rPr>
          <w:rFonts w:hint="eastAsia" w:ascii="Times New Roman" w:hAnsi="Times New Roman" w:eastAsia="宋体" w:cs="Times New Roman"/>
          <w:lang w:val="en-US" w:eastAsia="zh-CN"/>
        </w:rPr>
        <w:t>等</w:t>
      </w:r>
      <w:r>
        <w:rPr>
          <w:rFonts w:hint="eastAsia" w:cs="Times New Roman"/>
          <w:lang w:val="en-US" w:eastAsia="zh-CN"/>
        </w:rPr>
        <w:t>，不断加强研究生对习近平新时代中国特色社会主义思想的学习领悟，牢固树立“强国有我”的信念，激发奋斗的青春力量。</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jc w:val="center"/>
        <w:textAlignment w:val="auto"/>
        <w:rPr>
          <w:rFonts w:hint="default" w:ascii="Times New Roman" w:hAnsi="Times New Roman" w:eastAsia="宋体" w:cs="Times New Roman"/>
          <w:b/>
          <w:bCs/>
          <w:highlight w:val="none"/>
          <w:lang w:val="en-US" w:eastAsia="zh-CN"/>
        </w:rPr>
      </w:pPr>
      <w:r>
        <w:rPr>
          <w:rFonts w:hint="eastAsia" w:cs="Times New Roman"/>
          <w:b/>
          <w:bCs/>
          <w:highlight w:val="none"/>
          <w:lang w:val="en-US" w:eastAsia="zh-CN"/>
        </w:rPr>
        <w:t xml:space="preserve">表2  </w:t>
      </w:r>
      <w:r>
        <w:rPr>
          <w:rFonts w:hint="eastAsia" w:ascii="Times New Roman" w:hAnsi="Times New Roman" w:eastAsia="宋体" w:cs="Times New Roman"/>
          <w:b/>
          <w:bCs/>
          <w:highlight w:val="none"/>
        </w:rPr>
        <w:t>2023年</w:t>
      </w:r>
      <w:r>
        <w:rPr>
          <w:rFonts w:hint="eastAsia" w:cs="Times New Roman"/>
          <w:b/>
          <w:bCs/>
          <w:highlight w:val="none"/>
          <w:lang w:val="en-US" w:eastAsia="zh-CN"/>
        </w:rPr>
        <w:t>学位点研究生思想政治学习汇总表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641"/>
        <w:gridCol w:w="2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b/>
                <w:bCs/>
                <w:i w:val="0"/>
                <w:iCs w:val="0"/>
                <w:color w:val="000000"/>
                <w:kern w:val="0"/>
                <w:sz w:val="24"/>
                <w:szCs w:val="24"/>
                <w:u w:val="none"/>
                <w:lang w:val="en-US" w:eastAsia="zh-CN" w:bidi="ar"/>
              </w:rPr>
              <w:t>序号</w:t>
            </w:r>
          </w:p>
        </w:tc>
        <w:tc>
          <w:tcPr>
            <w:tcW w:w="464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b/>
                <w:bCs/>
                <w:i w:val="0"/>
                <w:iCs w:val="0"/>
                <w:color w:val="000000"/>
                <w:kern w:val="0"/>
                <w:sz w:val="24"/>
                <w:szCs w:val="24"/>
                <w:u w:val="none"/>
                <w:lang w:val="en-US" w:eastAsia="zh-CN" w:bidi="ar"/>
              </w:rPr>
              <w:t>学习内容</w:t>
            </w:r>
          </w:p>
        </w:tc>
        <w:tc>
          <w:tcPr>
            <w:tcW w:w="299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b/>
                <w:bCs/>
                <w:i w:val="0"/>
                <w:iCs w:val="0"/>
                <w:color w:val="000000"/>
                <w:kern w:val="0"/>
                <w:sz w:val="24"/>
                <w:szCs w:val="24"/>
                <w:u w:val="none"/>
                <w:lang w:val="en-US" w:eastAsia="zh-CN" w:bidi="ar"/>
              </w:rPr>
              <w:t>主讲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highlight w:val="none"/>
                <w:vertAlign w:val="baseli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i w:val="0"/>
                <w:iCs w:val="0"/>
                <w:color w:val="000000"/>
                <w:kern w:val="0"/>
                <w:sz w:val="24"/>
                <w:szCs w:val="24"/>
                <w:u w:val="none"/>
                <w:lang w:val="en-US" w:eastAsia="zh-CN" w:bidi="ar"/>
              </w:rPr>
              <w:t>广东省社会科学院春季学期研究生开学第一课思政课，主题是“学习贯彻党的二十大精神宣讲报告会”</w:t>
            </w:r>
          </w:p>
        </w:tc>
        <w:tc>
          <w:tcPr>
            <w:tcW w:w="299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i w:val="0"/>
                <w:iCs w:val="0"/>
                <w:color w:val="000000"/>
                <w:kern w:val="0"/>
                <w:sz w:val="24"/>
                <w:szCs w:val="24"/>
                <w:u w:val="none"/>
                <w:lang w:val="en-US" w:eastAsia="zh-CN" w:bidi="ar"/>
              </w:rPr>
              <w:t>王廷惠</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highlight w:val="none"/>
                <w:vertAlign w:val="baseli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464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i w:val="0"/>
                <w:iCs w:val="0"/>
                <w:color w:val="000000"/>
                <w:kern w:val="0"/>
                <w:sz w:val="24"/>
                <w:szCs w:val="24"/>
                <w:u w:val="none"/>
                <w:lang w:val="en-US" w:eastAsia="zh-CN" w:bidi="ar"/>
              </w:rPr>
              <w:t>“学习雷锋精神，做新时代传人”主题的思政大课</w:t>
            </w:r>
          </w:p>
        </w:tc>
        <w:tc>
          <w:tcPr>
            <w:tcW w:w="299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i w:val="0"/>
                <w:iCs w:val="0"/>
                <w:color w:val="000000"/>
                <w:kern w:val="0"/>
                <w:sz w:val="24"/>
                <w:szCs w:val="24"/>
                <w:u w:val="none"/>
                <w:lang w:val="en-US" w:eastAsia="zh-CN" w:bidi="ar"/>
              </w:rPr>
              <w:t>李哓晖、张晗主持（</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级学生党小组干部）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highlight w:val="none"/>
                <w:vertAlign w:val="baseline"/>
              </w:rPr>
            </w:pPr>
            <w:r>
              <w:rPr>
                <w:rFonts w:hint="default" w:ascii="Times New Roman" w:hAnsi="Times New Roman" w:cs="Times New Roman"/>
                <w:i w:val="0"/>
                <w:iCs w:val="0"/>
                <w:color w:val="000000"/>
                <w:kern w:val="0"/>
                <w:sz w:val="24"/>
                <w:szCs w:val="24"/>
                <w:u w:val="none"/>
                <w:lang w:val="en-US" w:eastAsia="zh-CN" w:bidi="ar"/>
              </w:rPr>
              <w:t>3</w:t>
            </w:r>
          </w:p>
        </w:tc>
        <w:tc>
          <w:tcPr>
            <w:tcW w:w="464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i w:val="0"/>
                <w:iCs w:val="0"/>
                <w:color w:val="000000"/>
                <w:kern w:val="0"/>
                <w:sz w:val="24"/>
                <w:szCs w:val="24"/>
                <w:u w:val="none"/>
                <w:lang w:val="en-US" w:eastAsia="zh-CN" w:bidi="ar"/>
              </w:rPr>
              <w:t>“大思政”专题讲座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——两会代表谈心得体会</w:t>
            </w:r>
          </w:p>
        </w:tc>
        <w:tc>
          <w:tcPr>
            <w:tcW w:w="299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i w:val="0"/>
                <w:iCs w:val="0"/>
                <w:color w:val="000000"/>
                <w:kern w:val="0"/>
                <w:sz w:val="24"/>
                <w:szCs w:val="24"/>
                <w:u w:val="none"/>
                <w:lang w:val="en-US" w:eastAsia="zh-CN" w:bidi="ar"/>
              </w:rPr>
              <w:t>杨丽婷 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highlight w:val="none"/>
                <w:vertAlign w:val="baseline"/>
              </w:rPr>
            </w:pPr>
            <w:r>
              <w:rPr>
                <w:rFonts w:hint="default" w:ascii="Times New Roman" w:hAnsi="Times New Roman" w:cs="Times New Roman"/>
                <w:i w:val="0"/>
                <w:iCs w:val="0"/>
                <w:color w:val="000000"/>
                <w:kern w:val="0"/>
                <w:sz w:val="24"/>
                <w:szCs w:val="24"/>
                <w:u w:val="none"/>
                <w:lang w:val="en-US" w:eastAsia="zh-CN" w:bidi="ar"/>
              </w:rPr>
              <w:t>4</w:t>
            </w:r>
          </w:p>
        </w:tc>
        <w:tc>
          <w:tcPr>
            <w:tcW w:w="464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i w:val="0"/>
                <w:iCs w:val="0"/>
                <w:color w:val="000000"/>
                <w:kern w:val="0"/>
                <w:sz w:val="24"/>
                <w:szCs w:val="24"/>
                <w:u w:val="none"/>
                <w:lang w:val="en-US" w:eastAsia="zh-CN" w:bidi="ar"/>
              </w:rPr>
              <w:t>参观院史馆——学习、传承院的优良文化传统</w:t>
            </w:r>
          </w:p>
        </w:tc>
        <w:tc>
          <w:tcPr>
            <w:tcW w:w="299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i w:val="0"/>
                <w:iCs w:val="0"/>
                <w:color w:val="000000"/>
                <w:kern w:val="0"/>
                <w:sz w:val="24"/>
                <w:szCs w:val="24"/>
                <w:u w:val="none"/>
                <w:lang w:val="en-US" w:eastAsia="zh-CN" w:bidi="ar"/>
              </w:rPr>
              <w:t>邱静宜 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highlight w:val="none"/>
                <w:vertAlign w:val="baseline"/>
              </w:rPr>
            </w:pPr>
            <w:r>
              <w:rPr>
                <w:rFonts w:hint="default" w:ascii="Times New Roman" w:hAnsi="Times New Roman" w:cs="Times New Roman"/>
                <w:i w:val="0"/>
                <w:iCs w:val="0"/>
                <w:color w:val="000000"/>
                <w:kern w:val="0"/>
                <w:sz w:val="24"/>
                <w:szCs w:val="24"/>
                <w:u w:val="none"/>
                <w:lang w:val="en-US" w:eastAsia="zh-CN" w:bidi="ar"/>
              </w:rPr>
              <w:t>5</w:t>
            </w:r>
          </w:p>
        </w:tc>
        <w:tc>
          <w:tcPr>
            <w:tcW w:w="464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i w:val="0"/>
                <w:iCs w:val="0"/>
                <w:color w:val="000000"/>
                <w:kern w:val="0"/>
                <w:sz w:val="24"/>
                <w:szCs w:val="24"/>
                <w:u w:val="none"/>
                <w:lang w:val="en-US" w:eastAsia="zh-CN" w:bidi="ar"/>
              </w:rPr>
              <w:t>学习贯彻习近平新时代中国特色社会主义思想主题教育青年读书会第二期</w:t>
            </w:r>
          </w:p>
        </w:tc>
        <w:tc>
          <w:tcPr>
            <w:tcW w:w="299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i w:val="0"/>
                <w:iCs w:val="0"/>
                <w:color w:val="000000"/>
                <w:kern w:val="0"/>
                <w:sz w:val="24"/>
                <w:szCs w:val="24"/>
                <w:u w:val="none"/>
                <w:lang w:val="en-US" w:eastAsia="zh-CN" w:bidi="ar"/>
              </w:rPr>
              <w:t>领导辅导发言、交流发言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highlight w:val="none"/>
                <w:vertAlign w:val="baseline"/>
              </w:rPr>
            </w:pPr>
            <w:r>
              <w:rPr>
                <w:rFonts w:hint="default" w:ascii="Times New Roman" w:hAnsi="Times New Roman" w:cs="Times New Roman"/>
                <w:i w:val="0"/>
                <w:iCs w:val="0"/>
                <w:color w:val="000000"/>
                <w:kern w:val="0"/>
                <w:sz w:val="24"/>
                <w:szCs w:val="24"/>
                <w:u w:val="none"/>
                <w:lang w:val="en-US" w:eastAsia="zh-CN" w:bidi="ar"/>
              </w:rPr>
              <w:t>6</w:t>
            </w:r>
          </w:p>
        </w:tc>
        <w:tc>
          <w:tcPr>
            <w:tcW w:w="464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i w:val="0"/>
                <w:iCs w:val="0"/>
                <w:color w:val="000000"/>
                <w:kern w:val="0"/>
                <w:sz w:val="24"/>
                <w:szCs w:val="24"/>
                <w:u w:val="none"/>
                <w:lang w:val="en-US" w:eastAsia="zh-CN" w:bidi="ar"/>
              </w:rPr>
              <w:t>“大思政”专题讲座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——研究生如何正确面向就业和走向社会</w:t>
            </w:r>
          </w:p>
        </w:tc>
        <w:tc>
          <w:tcPr>
            <w:tcW w:w="299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i w:val="0"/>
                <w:iCs w:val="0"/>
                <w:color w:val="000000"/>
                <w:kern w:val="0"/>
                <w:sz w:val="24"/>
                <w:szCs w:val="24"/>
                <w:u w:val="none"/>
                <w:lang w:val="en-US" w:eastAsia="zh-CN" w:bidi="ar"/>
              </w:rPr>
              <w:t>卢</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远  博士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暨南大学外国语学院党委书记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highlight w:val="none"/>
                <w:vertAlign w:val="baseline"/>
              </w:rPr>
            </w:pPr>
            <w:r>
              <w:rPr>
                <w:rFonts w:hint="default" w:ascii="Times New Roman" w:hAnsi="Times New Roman" w:cs="Times New Roman"/>
                <w:i w:val="0"/>
                <w:iCs w:val="0"/>
                <w:color w:val="000000"/>
                <w:kern w:val="0"/>
                <w:sz w:val="24"/>
                <w:szCs w:val="24"/>
                <w:u w:val="none"/>
                <w:lang w:val="en-US" w:eastAsia="zh-CN" w:bidi="ar"/>
              </w:rPr>
              <w:t>7</w:t>
            </w:r>
          </w:p>
        </w:tc>
        <w:tc>
          <w:tcPr>
            <w:tcW w:w="464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i w:val="0"/>
                <w:iCs w:val="0"/>
                <w:color w:val="000000"/>
                <w:kern w:val="0"/>
                <w:sz w:val="24"/>
                <w:szCs w:val="24"/>
                <w:u w:val="none"/>
                <w:lang w:val="en-US" w:eastAsia="zh-CN" w:bidi="ar"/>
              </w:rPr>
              <w:t>“大思政”专题讲座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——“总体国家安全观视角下的我国安全形势分析”</w:t>
            </w:r>
          </w:p>
        </w:tc>
        <w:tc>
          <w:tcPr>
            <w:tcW w:w="299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i w:val="0"/>
                <w:iCs w:val="0"/>
                <w:color w:val="000000"/>
                <w:kern w:val="0"/>
                <w:sz w:val="24"/>
                <w:szCs w:val="24"/>
                <w:u w:val="none"/>
                <w:lang w:val="en-US" w:eastAsia="zh-CN" w:bidi="ar"/>
              </w:rPr>
              <w:t>王向方</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highlight w:val="none"/>
                <w:vertAlign w:val="baseline"/>
              </w:rPr>
            </w:pPr>
            <w:r>
              <w:rPr>
                <w:rFonts w:hint="default" w:ascii="Times New Roman" w:hAnsi="Times New Roman" w:cs="Times New Roman"/>
                <w:i w:val="0"/>
                <w:iCs w:val="0"/>
                <w:color w:val="000000"/>
                <w:kern w:val="0"/>
                <w:sz w:val="24"/>
                <w:szCs w:val="24"/>
                <w:u w:val="none"/>
                <w:lang w:val="en-US" w:eastAsia="zh-CN" w:bidi="ar"/>
              </w:rPr>
              <w:t>8</w:t>
            </w:r>
          </w:p>
        </w:tc>
        <w:tc>
          <w:tcPr>
            <w:tcW w:w="464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i w:val="0"/>
                <w:iCs w:val="0"/>
                <w:color w:val="000000"/>
                <w:kern w:val="0"/>
                <w:sz w:val="24"/>
                <w:szCs w:val="24"/>
                <w:u w:val="none"/>
                <w:lang w:val="en-US" w:eastAsia="zh-CN" w:bidi="ar"/>
              </w:rPr>
              <w:t>“大思政”专题讲座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——“心理健康，从一个公式讲开来…”</w:t>
            </w:r>
          </w:p>
        </w:tc>
        <w:tc>
          <w:tcPr>
            <w:tcW w:w="299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i w:val="0"/>
                <w:iCs w:val="0"/>
                <w:color w:val="000000"/>
                <w:kern w:val="0"/>
                <w:sz w:val="24"/>
                <w:szCs w:val="24"/>
                <w:u w:val="none"/>
                <w:lang w:val="en-US" w:eastAsia="zh-CN" w:bidi="ar"/>
              </w:rPr>
              <w:t>吕玲玲</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讲师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华南农业大学心理健康辅导中心专职心理咨询师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highlight w:val="none"/>
                <w:vertAlign w:val="baseline"/>
              </w:rPr>
            </w:pPr>
            <w:r>
              <w:rPr>
                <w:rFonts w:hint="default" w:ascii="Times New Roman" w:hAnsi="Times New Roman" w:cs="Times New Roman"/>
                <w:i w:val="0"/>
                <w:iCs w:val="0"/>
                <w:color w:val="000000"/>
                <w:kern w:val="0"/>
                <w:sz w:val="24"/>
                <w:szCs w:val="24"/>
                <w:u w:val="none"/>
                <w:lang w:val="en-US" w:eastAsia="zh-CN" w:bidi="ar"/>
              </w:rPr>
              <w:t>9</w:t>
            </w:r>
          </w:p>
        </w:tc>
        <w:tc>
          <w:tcPr>
            <w:tcW w:w="464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i w:val="0"/>
                <w:iCs w:val="0"/>
                <w:color w:val="000000"/>
                <w:kern w:val="0"/>
                <w:sz w:val="24"/>
                <w:szCs w:val="24"/>
                <w:u w:val="none"/>
                <w:lang w:val="en-US" w:eastAsia="zh-CN" w:bidi="ar"/>
              </w:rPr>
              <w:t>“大思政”专题讲座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——“学习贯彻习近平法治思想”</w:t>
            </w:r>
          </w:p>
        </w:tc>
        <w:tc>
          <w:tcPr>
            <w:tcW w:w="299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i w:val="0"/>
                <w:iCs w:val="0"/>
                <w:color w:val="000000"/>
                <w:kern w:val="0"/>
                <w:sz w:val="24"/>
                <w:szCs w:val="24"/>
                <w:u w:val="none"/>
                <w:lang w:val="en-US" w:eastAsia="zh-CN" w:bidi="ar"/>
              </w:rPr>
              <w:t>张庆元：武汉大学法学院国际法学博士，中国国际私法学会常务理事、广东省国际法学会理事。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highlight w:val="none"/>
                <w:vertAlign w:val="baseline"/>
              </w:rPr>
            </w:pPr>
            <w:r>
              <w:rPr>
                <w:rFonts w:hint="default" w:ascii="Times New Roman" w:hAnsi="Times New Roman" w:eastAsia="宋体" w:cs="Times New Roman"/>
                <w:i w:val="0"/>
                <w:iCs w:val="0"/>
                <w:color w:val="000000"/>
                <w:kern w:val="0"/>
                <w:sz w:val="24"/>
                <w:szCs w:val="24"/>
                <w:u w:val="none"/>
                <w:lang w:val="en-US" w:eastAsia="zh-CN" w:bidi="ar"/>
              </w:rPr>
              <w:t>1</w:t>
            </w:r>
            <w:r>
              <w:rPr>
                <w:rFonts w:hint="default" w:ascii="Times New Roman" w:hAnsi="Times New Roman" w:cs="Times New Roman"/>
                <w:i w:val="0"/>
                <w:iCs w:val="0"/>
                <w:color w:val="000000"/>
                <w:kern w:val="0"/>
                <w:sz w:val="24"/>
                <w:szCs w:val="24"/>
                <w:u w:val="none"/>
                <w:lang w:val="en-US" w:eastAsia="zh-CN" w:bidi="ar"/>
              </w:rPr>
              <w:t>0</w:t>
            </w:r>
          </w:p>
        </w:tc>
        <w:tc>
          <w:tcPr>
            <w:tcW w:w="464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i w:val="0"/>
                <w:iCs w:val="0"/>
                <w:color w:val="000000"/>
                <w:kern w:val="0"/>
                <w:sz w:val="24"/>
                <w:szCs w:val="24"/>
                <w:u w:val="none"/>
                <w:lang w:val="en-US" w:eastAsia="zh-CN" w:bidi="ar"/>
              </w:rPr>
              <w:t>“大思政”专题讲座——“有理想、敢担当、能吃苦、肯奋斗”奋力锤炼强国建设和民族复兴的真本领</w:t>
            </w:r>
          </w:p>
        </w:tc>
        <w:tc>
          <w:tcPr>
            <w:tcW w:w="299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highlight w:val="none"/>
                <w:vertAlign w:val="baseline"/>
              </w:rPr>
            </w:pPr>
            <w:r>
              <w:rPr>
                <w:rFonts w:hint="eastAsia" w:ascii="宋体" w:hAnsi="宋体" w:eastAsia="宋体" w:cs="宋体"/>
                <w:i w:val="0"/>
                <w:iCs w:val="0"/>
                <w:color w:val="000000"/>
                <w:kern w:val="0"/>
                <w:sz w:val="24"/>
                <w:szCs w:val="24"/>
                <w:u w:val="none"/>
                <w:lang w:val="en-US" w:eastAsia="zh-CN" w:bidi="ar"/>
              </w:rPr>
              <w:t>王廷惠</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院长</w:t>
            </w:r>
          </w:p>
        </w:tc>
      </w:tr>
    </w:tbl>
    <w:p>
      <w:pPr>
        <w:tabs>
          <w:tab w:val="left" w:pos="2640"/>
        </w:tabs>
        <w:spacing w:before="313" w:beforeLines="100"/>
        <w:ind w:firstLine="0" w:firstLineChars="0"/>
        <w:rPr>
          <w:rFonts w:hint="eastAsia" w:cs="Times New Roman"/>
          <w:lang w:val="en-US" w:eastAsia="zh-Hans"/>
        </w:rPr>
      </w:pPr>
      <w:r>
        <w:rPr>
          <w:rFonts w:hint="eastAsia" w:cs="Times New Roman"/>
          <w:lang w:val="en-US" w:eastAsia="zh-CN"/>
        </w:rPr>
        <w:t xml:space="preserve">    </w:t>
      </w:r>
      <w:r>
        <w:rPr>
          <w:rFonts w:hint="default" w:cs="Times New Roman"/>
          <w:b/>
          <w:bCs/>
          <w:lang w:eastAsia="zh-CN"/>
        </w:rPr>
        <w:t>2</w:t>
      </w:r>
      <w:r>
        <w:rPr>
          <w:rFonts w:hint="eastAsia" w:cs="Times New Roman"/>
          <w:b/>
          <w:bCs/>
          <w:lang w:val="en-US" w:eastAsia="zh-Hans"/>
        </w:rPr>
        <w:t>.</w:t>
      </w:r>
      <w:r>
        <w:rPr>
          <w:rFonts w:hint="eastAsia" w:cs="Times New Roman"/>
          <w:b/>
          <w:bCs/>
          <w:lang w:val="en-US" w:eastAsia="zh-CN"/>
        </w:rPr>
        <w:t>以支部建设为抓手</w:t>
      </w:r>
      <w:r>
        <w:rPr>
          <w:rFonts w:hint="default" w:cs="Times New Roman"/>
          <w:b/>
          <w:bCs/>
          <w:lang w:eastAsia="zh-CN"/>
        </w:rPr>
        <w:t>，</w:t>
      </w:r>
      <w:r>
        <w:rPr>
          <w:rFonts w:hint="eastAsia" w:cs="Times New Roman"/>
          <w:b/>
          <w:bCs/>
          <w:lang w:val="en-US" w:eastAsia="zh-Hans"/>
        </w:rPr>
        <w:t>夯实基层组织堡垒</w:t>
      </w:r>
    </w:p>
    <w:p>
      <w:pPr>
        <w:spacing w:before="0" w:beforeLines="0"/>
        <w:ind w:firstLine="0" w:firstLineChars="0"/>
        <w:rPr>
          <w:rFonts w:hint="eastAsia" w:cs="Times New Roman"/>
          <w:lang w:eastAsia="zh-CN"/>
        </w:rPr>
      </w:pPr>
      <w:r>
        <w:rPr>
          <w:rFonts w:hint="eastAsia" w:cs="Times New Roman"/>
          <w:lang w:val="en-US" w:eastAsia="zh-CN"/>
        </w:rPr>
        <w:t xml:space="preserve">    2023年，</w:t>
      </w:r>
      <w:r>
        <w:rPr>
          <w:rFonts w:hint="eastAsia" w:ascii="Times New Roman" w:hAnsi="Times New Roman" w:eastAsia="宋体" w:cs="Times New Roman"/>
        </w:rPr>
        <w:t>研究生党支部</w:t>
      </w:r>
      <w:r>
        <w:rPr>
          <w:rFonts w:hint="eastAsia" w:cs="Times New Roman"/>
          <w:lang w:val="en-US" w:eastAsia="zh-CN"/>
        </w:rPr>
        <w:t>持续</w:t>
      </w:r>
      <w:r>
        <w:rPr>
          <w:rFonts w:hint="eastAsia" w:ascii="Times New Roman" w:hAnsi="Times New Roman" w:eastAsia="宋体" w:cs="Times New Roman"/>
        </w:rPr>
        <w:t>推进支部建设标准化</w:t>
      </w:r>
      <w:r>
        <w:rPr>
          <w:rFonts w:hint="eastAsia" w:cs="Times New Roman"/>
          <w:lang w:eastAsia="zh-CN"/>
        </w:rPr>
        <w:t>、</w:t>
      </w:r>
      <w:r>
        <w:rPr>
          <w:rFonts w:hint="eastAsia" w:ascii="Times New Roman" w:hAnsi="Times New Roman" w:eastAsia="宋体" w:cs="Times New Roman"/>
        </w:rPr>
        <w:t>规范化，提升基层组织政治领导力、思想引领力</w:t>
      </w:r>
      <w:r>
        <w:rPr>
          <w:rFonts w:hint="eastAsia" w:eastAsia="宋体" w:cs="Times New Roman"/>
          <w:lang w:val="en-US" w:eastAsia="zh-Hans"/>
        </w:rPr>
        <w:t>和</w:t>
      </w:r>
      <w:r>
        <w:rPr>
          <w:rFonts w:hint="eastAsia" w:ascii="Times New Roman" w:hAnsi="Times New Roman" w:eastAsia="宋体" w:cs="Times New Roman"/>
        </w:rPr>
        <w:t>号召力。全面落实“三会一课”、组织生活会、谈心谈话、思想汇报等基本制度，</w:t>
      </w:r>
      <w:r>
        <w:rPr>
          <w:rFonts w:hint="eastAsia" w:cs="Times New Roman"/>
          <w:lang w:val="en-US" w:eastAsia="zh-Hans"/>
        </w:rPr>
        <w:t>促进“三会一课”与思想引领、专业学习、科研实践、创业就业、心理健康“</w:t>
      </w:r>
      <w:r>
        <w:rPr>
          <w:rFonts w:hint="default" w:cs="Times New Roman"/>
          <w:lang w:eastAsia="zh-Hans"/>
        </w:rPr>
        <w:t>5</w:t>
      </w:r>
      <w:r>
        <w:rPr>
          <w:rFonts w:hint="eastAsia" w:cs="Times New Roman"/>
          <w:lang w:val="en-US" w:eastAsia="zh-Hans"/>
        </w:rPr>
        <w:t>结合”</w:t>
      </w:r>
      <w:r>
        <w:rPr>
          <w:rFonts w:hint="default" w:cs="Times New Roman"/>
          <w:lang w:eastAsia="zh-Hans"/>
        </w:rPr>
        <w:t>，</w:t>
      </w:r>
      <w:r>
        <w:rPr>
          <w:rFonts w:hint="eastAsia" w:cs="Times New Roman"/>
          <w:lang w:val="en-US" w:eastAsia="zh-CN"/>
        </w:rPr>
        <w:t>全面推进学生</w:t>
      </w:r>
      <w:r>
        <w:rPr>
          <w:rFonts w:hint="eastAsia" w:ascii="Times New Roman" w:hAnsi="Times New Roman" w:eastAsia="宋体" w:cs="Times New Roman"/>
        </w:rPr>
        <w:t>党员思想政治教育与意识形态教育工作</w:t>
      </w:r>
      <w:r>
        <w:rPr>
          <w:rFonts w:hint="eastAsia" w:cs="Times New Roman"/>
          <w:lang w:eastAsia="zh-CN"/>
        </w:rPr>
        <w:t>。</w:t>
      </w:r>
      <w:r>
        <w:rPr>
          <w:rFonts w:hint="eastAsia" w:ascii="Times New Roman" w:hAnsi="Times New Roman" w:eastAsia="宋体" w:cs="Times New Roman"/>
        </w:rPr>
        <w:t>2023年</w:t>
      </w:r>
      <w:r>
        <w:rPr>
          <w:rFonts w:hint="eastAsia"/>
        </w:rPr>
        <w:t>党</w:t>
      </w:r>
      <w:r>
        <w:rPr>
          <w:rFonts w:hint="eastAsia" w:ascii="Times New Roman" w:hAnsi="Times New Roman" w:eastAsia="宋体" w:cs="Times New Roman"/>
        </w:rPr>
        <w:t>支部共召开支委会18次，支部党员大会5次，主题党日活动15次，支部书记讲党课4次，谈心谈话9次，支部组织生活会和民主评议党员2次（老师党小组和学生党小组各1次），党员群众意见调查8次</w:t>
      </w:r>
      <w:r>
        <w:rPr>
          <w:rFonts w:hint="eastAsia" w:cs="Times New Roman"/>
          <w:lang w:eastAsia="zh-CN"/>
        </w:rPr>
        <w:t>；</w:t>
      </w:r>
      <w:r>
        <w:rPr>
          <w:rFonts w:hint="eastAsia" w:ascii="Times New Roman" w:hAnsi="Times New Roman" w:eastAsia="宋体" w:cs="Times New Roman"/>
        </w:rPr>
        <w:t>带领学生党员前往惠州罗浮山东江纵队纪念馆开展</w:t>
      </w:r>
      <w:r>
        <w:rPr>
          <w:rFonts w:hint="eastAsia" w:ascii="宋体" w:hAnsi="宋体" w:eastAsia="宋体" w:cs="宋体"/>
          <w:i w:val="0"/>
          <w:iCs w:val="0"/>
          <w:color w:val="000000"/>
          <w:kern w:val="0"/>
          <w:sz w:val="24"/>
          <w:szCs w:val="24"/>
          <w:u w:val="none"/>
          <w:lang w:val="en-US" w:eastAsia="zh-CN" w:bidi="ar"/>
        </w:rPr>
        <w:t>“赓续红色血脉，汲取奋进力量”</w:t>
      </w:r>
      <w:r>
        <w:rPr>
          <w:rFonts w:hint="eastAsia" w:ascii="Times New Roman" w:hAnsi="Times New Roman" w:eastAsia="宋体" w:cs="Times New Roman"/>
        </w:rPr>
        <w:t>主题党日活动，进行</w:t>
      </w:r>
      <w:r>
        <w:rPr>
          <w:rFonts w:hint="eastAsia" w:ascii="宋体" w:hAnsi="宋体" w:eastAsia="宋体" w:cs="宋体"/>
          <w:i w:val="0"/>
          <w:iCs w:val="0"/>
          <w:color w:val="000000"/>
          <w:kern w:val="0"/>
          <w:sz w:val="24"/>
          <w:szCs w:val="24"/>
          <w:u w:val="none"/>
          <w:lang w:val="en-US" w:eastAsia="zh-CN" w:bidi="ar"/>
        </w:rPr>
        <w:t>“东纵精神爱国主义教育”</w:t>
      </w:r>
      <w:r>
        <w:rPr>
          <w:rFonts w:hint="eastAsia" w:ascii="Times New Roman" w:hAnsi="Times New Roman" w:eastAsia="宋体" w:cs="Times New Roman"/>
        </w:rPr>
        <w:t>，夯实理想根基，锤炼党性</w:t>
      </w:r>
      <w:r>
        <w:rPr>
          <w:rFonts w:hint="eastAsia" w:cs="Times New Roman"/>
          <w:lang w:eastAsia="zh-CN"/>
        </w:rPr>
        <w:t>。</w:t>
      </w:r>
    </w:p>
    <w:p>
      <w:pPr>
        <w:keepNext w:val="0"/>
        <w:keepLines w:val="0"/>
        <w:pageBreakBefore w:val="0"/>
        <w:widowControl/>
        <w:kinsoku/>
        <w:wordWrap/>
        <w:overflowPunct/>
        <w:topLinePunct w:val="0"/>
        <w:autoSpaceDE/>
        <w:autoSpaceDN/>
        <w:bidi w:val="0"/>
        <w:adjustRightInd/>
        <w:snapToGrid/>
        <w:spacing w:before="0" w:beforeLines="0"/>
        <w:ind w:firstLine="480"/>
        <w:textAlignment w:val="auto"/>
        <w:rPr>
          <w:rFonts w:hint="default" w:cs="Times New Roman"/>
          <w:highlight w:val="none"/>
          <w:lang w:val="en-US" w:eastAsia="zh-CN"/>
        </w:rPr>
      </w:pPr>
      <w:r>
        <w:rPr>
          <w:rFonts w:hint="eastAsia"/>
          <w:color w:val="000000"/>
          <w:lang w:val="en-US" w:eastAsia="zh-CN"/>
        </w:rPr>
        <w:t>同时，</w:t>
      </w:r>
      <w:r>
        <w:rPr>
          <w:rFonts w:hint="eastAsia"/>
          <w:color w:val="000000"/>
        </w:rPr>
        <w:t>院研究生部党支部</w:t>
      </w:r>
      <w:r>
        <w:rPr>
          <w:rFonts w:hint="eastAsia" w:ascii="Times New Roman" w:hAnsi="Times New Roman" w:eastAsia="宋体" w:cs="Times New Roman"/>
        </w:rPr>
        <w:t>高度重视培养</w:t>
      </w:r>
      <w:r>
        <w:rPr>
          <w:rFonts w:hint="eastAsia" w:cs="Times New Roman"/>
          <w:lang w:val="en-US" w:eastAsia="zh-CN"/>
        </w:rPr>
        <w:t>和</w:t>
      </w:r>
      <w:r>
        <w:rPr>
          <w:rFonts w:hint="eastAsia" w:ascii="Times New Roman" w:hAnsi="Times New Roman" w:eastAsia="宋体" w:cs="Times New Roman"/>
        </w:rPr>
        <w:t>引导思想进步、积极向上的年轻人加入党组织，对照党章，高标准严要求地开展“选苗”工作，</w:t>
      </w:r>
      <w:r>
        <w:rPr>
          <w:rFonts w:hint="eastAsia" w:cs="Times New Roman"/>
          <w:lang w:val="en-US" w:eastAsia="zh-Hans"/>
        </w:rPr>
        <w:t>注重</w:t>
      </w:r>
      <w:r>
        <w:rPr>
          <w:rFonts w:hint="eastAsia" w:ascii="Times New Roman" w:hAnsi="Times New Roman" w:eastAsia="宋体" w:cs="Times New Roman"/>
        </w:rPr>
        <w:t>把综合素养高、表现优异的学生作为培养重点，严格按照“控制总量、优化结构、提高质量、发挥作用”的总要求，扎实做好发展党员工作。</w:t>
      </w:r>
      <w:r>
        <w:rPr>
          <w:rFonts w:hint="eastAsia" w:ascii="Times New Roman" w:hAnsi="Times New Roman" w:eastAsia="宋体" w:cs="Times New Roman"/>
          <w:lang w:val="en-US" w:eastAsia="zh-CN"/>
        </w:rPr>
        <w:t>本学位点</w:t>
      </w:r>
      <w:r>
        <w:rPr>
          <w:rFonts w:hint="eastAsia" w:ascii="Times New Roman" w:hAnsi="Times New Roman" w:eastAsia="宋体" w:cs="Times New Roman"/>
        </w:rPr>
        <w:t>研究生积极向党组织靠拢</w:t>
      </w:r>
      <w:r>
        <w:rPr>
          <w:rFonts w:hint="eastAsia" w:ascii="Times New Roman" w:hAnsi="Times New Roman" w:eastAsia="宋体" w:cs="Times New Roman"/>
          <w:highlight w:val="none"/>
        </w:rPr>
        <w:t>，202</w:t>
      </w:r>
      <w:r>
        <w:rPr>
          <w:rFonts w:hint="eastAsia" w:cs="Times New Roman"/>
          <w:highlight w:val="none"/>
          <w:lang w:eastAsia="zh-CN"/>
        </w:rPr>
        <w:t>3</w:t>
      </w:r>
      <w:r>
        <w:rPr>
          <w:rFonts w:hint="eastAsia" w:ascii="Times New Roman" w:hAnsi="Times New Roman" w:eastAsia="宋体" w:cs="Times New Roman"/>
          <w:highlight w:val="none"/>
        </w:rPr>
        <w:t>年</w:t>
      </w:r>
      <w:r>
        <w:rPr>
          <w:rFonts w:hint="eastAsia" w:ascii="Times New Roman" w:hAnsi="Times New Roman" w:eastAsia="宋体" w:cs="Times New Roman"/>
          <w:highlight w:val="none"/>
          <w:lang w:eastAsia="zh-CN"/>
        </w:rPr>
        <w:t>，</w:t>
      </w:r>
      <w:r>
        <w:rPr>
          <w:rFonts w:hint="eastAsia" w:ascii="Times New Roman" w:hAnsi="Times New Roman" w:eastAsia="宋体" w:cs="Times New Roman"/>
          <w:highlight w:val="none"/>
        </w:rPr>
        <w:t>共有</w:t>
      </w:r>
      <w:r>
        <w:rPr>
          <w:rFonts w:hint="eastAsia" w:cs="Times New Roman"/>
          <w:highlight w:val="none"/>
          <w:lang w:val="en-US" w:eastAsia="zh-CN"/>
        </w:rPr>
        <w:t>1</w:t>
      </w:r>
      <w:r>
        <w:rPr>
          <w:rFonts w:hint="eastAsia" w:ascii="Times New Roman" w:hAnsi="Times New Roman" w:eastAsia="宋体" w:cs="Times New Roman"/>
          <w:highlight w:val="none"/>
        </w:rPr>
        <w:t>名研究生发展成为预备党员。截至202</w:t>
      </w:r>
      <w:r>
        <w:rPr>
          <w:rFonts w:hint="eastAsia" w:cs="Times New Roman"/>
          <w:highlight w:val="none"/>
          <w:lang w:eastAsia="zh-CN"/>
        </w:rPr>
        <w:t>3</w:t>
      </w:r>
      <w:r>
        <w:rPr>
          <w:rFonts w:hint="eastAsia" w:ascii="Times New Roman" w:hAnsi="Times New Roman" w:eastAsia="宋体" w:cs="Times New Roman"/>
          <w:highlight w:val="none"/>
        </w:rPr>
        <w:t>年年底，本学位点共有在校党员</w:t>
      </w:r>
      <w:r>
        <w:rPr>
          <w:rFonts w:hint="eastAsia" w:cs="Times New Roman"/>
          <w:highlight w:val="none"/>
          <w:lang w:val="en-US" w:eastAsia="zh-CN"/>
        </w:rPr>
        <w:t>6</w:t>
      </w:r>
      <w:r>
        <w:rPr>
          <w:rFonts w:hint="eastAsia" w:ascii="Times New Roman" w:hAnsi="Times New Roman" w:eastAsia="宋体" w:cs="Times New Roman"/>
          <w:highlight w:val="none"/>
        </w:rPr>
        <w:t>名（研一202</w:t>
      </w:r>
      <w:r>
        <w:rPr>
          <w:rFonts w:hint="eastAsia" w:cs="Times New Roman"/>
          <w:highlight w:val="none"/>
          <w:lang w:eastAsia="zh-CN"/>
        </w:rPr>
        <w:t>3</w:t>
      </w:r>
      <w:r>
        <w:rPr>
          <w:rFonts w:hint="eastAsia" w:ascii="Times New Roman" w:hAnsi="Times New Roman" w:eastAsia="宋体" w:cs="Times New Roman"/>
          <w:highlight w:val="none"/>
        </w:rPr>
        <w:t>级</w:t>
      </w:r>
      <w:r>
        <w:rPr>
          <w:rFonts w:hint="eastAsia" w:cs="Times New Roman"/>
          <w:highlight w:val="none"/>
          <w:lang w:val="en-US" w:eastAsia="zh-CN"/>
        </w:rPr>
        <w:t>1</w:t>
      </w:r>
      <w:r>
        <w:rPr>
          <w:rFonts w:hint="eastAsia" w:ascii="Times New Roman" w:hAnsi="Times New Roman" w:eastAsia="宋体" w:cs="Times New Roman"/>
          <w:highlight w:val="none"/>
        </w:rPr>
        <w:t>名，研二202</w:t>
      </w:r>
      <w:r>
        <w:rPr>
          <w:rFonts w:hint="eastAsia" w:cs="Times New Roman"/>
          <w:highlight w:val="none"/>
          <w:lang w:eastAsia="zh-CN"/>
        </w:rPr>
        <w:t>2</w:t>
      </w:r>
      <w:r>
        <w:rPr>
          <w:rFonts w:hint="eastAsia" w:ascii="Times New Roman" w:hAnsi="Times New Roman" w:eastAsia="宋体" w:cs="Times New Roman"/>
          <w:highlight w:val="none"/>
        </w:rPr>
        <w:t>级</w:t>
      </w:r>
      <w:r>
        <w:rPr>
          <w:rFonts w:hint="eastAsia" w:cs="Times New Roman"/>
          <w:highlight w:val="none"/>
          <w:lang w:val="en-US" w:eastAsia="zh-CN"/>
        </w:rPr>
        <w:t>3</w:t>
      </w:r>
      <w:r>
        <w:rPr>
          <w:rFonts w:hint="eastAsia" w:ascii="Times New Roman" w:hAnsi="Times New Roman" w:eastAsia="宋体" w:cs="Times New Roman"/>
          <w:highlight w:val="none"/>
        </w:rPr>
        <w:t>名，研三202</w:t>
      </w:r>
      <w:r>
        <w:rPr>
          <w:rFonts w:hint="eastAsia" w:cs="Times New Roman"/>
          <w:highlight w:val="none"/>
          <w:lang w:eastAsia="zh-CN"/>
        </w:rPr>
        <w:t>1</w:t>
      </w:r>
      <w:r>
        <w:rPr>
          <w:rFonts w:hint="eastAsia" w:ascii="Times New Roman" w:hAnsi="Times New Roman" w:eastAsia="宋体" w:cs="Times New Roman"/>
          <w:highlight w:val="none"/>
        </w:rPr>
        <w:t>级</w:t>
      </w:r>
      <w:r>
        <w:rPr>
          <w:rFonts w:hint="eastAsia" w:cs="Times New Roman"/>
          <w:highlight w:val="none"/>
          <w:lang w:val="en-US" w:eastAsia="zh-CN"/>
        </w:rPr>
        <w:t>2</w:t>
      </w:r>
      <w:r>
        <w:rPr>
          <w:rFonts w:hint="eastAsia" w:ascii="Times New Roman" w:hAnsi="Times New Roman" w:eastAsia="宋体" w:cs="Times New Roman"/>
          <w:highlight w:val="none"/>
        </w:rPr>
        <w:t>名）</w:t>
      </w:r>
      <w:r>
        <w:rPr>
          <w:rFonts w:hint="eastAsia" w:cs="Times New Roman"/>
          <w:highlight w:val="none"/>
          <w:lang w:val="en-US" w:eastAsia="zh-CN"/>
        </w:rPr>
        <w:t>，预备党员2名</w:t>
      </w:r>
      <w:r>
        <w:rPr>
          <w:rFonts w:hint="eastAsia" w:ascii="Times New Roman" w:hAnsi="Times New Roman" w:eastAsia="宋体" w:cs="Times New Roman"/>
          <w:highlight w:val="none"/>
        </w:rPr>
        <w:t>。</w:t>
      </w:r>
      <w:r>
        <w:rPr>
          <w:rFonts w:hint="default" w:cs="Times New Roman"/>
          <w:highlight w:val="none"/>
          <w:lang w:eastAsia="zh-CN"/>
        </w:rPr>
        <w:t>2023</w:t>
      </w:r>
      <w:r>
        <w:rPr>
          <w:rFonts w:hint="eastAsia" w:cs="Times New Roman"/>
          <w:highlight w:val="none"/>
          <w:lang w:val="en-US" w:eastAsia="zh-Hans"/>
        </w:rPr>
        <w:t>年研究生党支部</w:t>
      </w:r>
      <w:r>
        <w:rPr>
          <w:rFonts w:hint="eastAsia" w:cs="Times New Roman"/>
          <w:highlight w:val="none"/>
          <w:lang w:val="en-US" w:eastAsia="zh-CN"/>
        </w:rPr>
        <w:t>党建引领作用彰显，基层党组织充满活力，有效保障人才培养、科学研究、</w:t>
      </w:r>
      <w:r>
        <w:rPr>
          <w:rFonts w:hint="eastAsia" w:cs="Times New Roman"/>
          <w:highlight w:val="none"/>
          <w:lang w:val="en-US" w:eastAsia="zh-Hans"/>
        </w:rPr>
        <w:t>社会实践</w:t>
      </w:r>
      <w:r>
        <w:rPr>
          <w:rFonts w:hint="eastAsia" w:cs="Times New Roman"/>
          <w:highlight w:val="none"/>
          <w:lang w:val="en-US" w:eastAsia="zh-CN"/>
        </w:rPr>
        <w:t>与创新等工作坚持正确的政治方向</w:t>
      </w:r>
      <w:r>
        <w:rPr>
          <w:rFonts w:hint="default" w:cs="Times New Roman"/>
          <w:highlight w:val="none"/>
          <w:lang w:eastAsia="zh-CN"/>
        </w:rPr>
        <w:t>，</w:t>
      </w:r>
      <w:r>
        <w:rPr>
          <w:rFonts w:hint="eastAsia" w:cs="Times New Roman"/>
          <w:highlight w:val="none"/>
          <w:lang w:val="en-US" w:eastAsia="zh-Hans"/>
        </w:rPr>
        <w:t>学</w:t>
      </w:r>
      <w:r>
        <w:rPr>
          <w:rFonts w:hint="eastAsia" w:cs="Times New Roman"/>
          <w:highlight w:val="none"/>
          <w:lang w:val="en-US" w:eastAsia="zh-CN"/>
        </w:rPr>
        <w:t>位</w:t>
      </w:r>
      <w:r>
        <w:rPr>
          <w:rFonts w:hint="eastAsia" w:cs="Times New Roman"/>
          <w:highlight w:val="none"/>
          <w:lang w:val="en-US" w:eastAsia="zh-Hans"/>
        </w:rPr>
        <w:t>点</w:t>
      </w:r>
      <w:r>
        <w:rPr>
          <w:rFonts w:hint="eastAsia" w:cs="Times New Roman"/>
          <w:highlight w:val="none"/>
          <w:lang w:eastAsia="zh-CN"/>
        </w:rPr>
        <w:t>1</w:t>
      </w:r>
      <w:r>
        <w:rPr>
          <w:rFonts w:hint="eastAsia" w:cs="Times New Roman"/>
          <w:highlight w:val="none"/>
          <w:lang w:val="en-US" w:eastAsia="zh-CN"/>
        </w:rPr>
        <w:t xml:space="preserve">名研究生获优秀党员。  </w:t>
      </w:r>
    </w:p>
    <w:p>
      <w:pPr>
        <w:pStyle w:val="4"/>
        <w:keepNext w:val="0"/>
        <w:keepLines w:val="0"/>
        <w:pageBreakBefore w:val="0"/>
        <w:widowControl w:val="0"/>
        <w:kinsoku/>
        <w:wordWrap/>
        <w:overflowPunct/>
        <w:topLinePunct w:val="0"/>
        <w:autoSpaceDE/>
        <w:autoSpaceDN/>
        <w:bidi w:val="0"/>
        <w:adjustRightInd/>
        <w:snapToGrid/>
        <w:spacing w:before="157" w:beforeLines="50"/>
        <w:ind w:firstLine="602" w:firstLineChars="200"/>
        <w:textAlignment w:val="auto"/>
        <w:rPr>
          <w:rFonts w:hint="eastAsia" w:eastAsia="黑体"/>
          <w:lang w:eastAsia="zh-CN"/>
        </w:rPr>
      </w:pPr>
      <w:bookmarkStart w:id="42" w:name="_Toc127664220"/>
      <w:bookmarkStart w:id="43" w:name="_Toc104"/>
      <w:bookmarkStart w:id="44" w:name="_Toc7620"/>
      <w:bookmarkStart w:id="45" w:name="_Toc11778"/>
      <w:bookmarkStart w:id="46" w:name="_Toc27885"/>
      <w:r>
        <w:rPr>
          <w:rFonts w:hint="eastAsia"/>
        </w:rPr>
        <w:t>（二）科学道德和学风教育</w:t>
      </w:r>
      <w:bookmarkEnd w:id="42"/>
      <w:bookmarkEnd w:id="43"/>
      <w:bookmarkEnd w:id="44"/>
      <w:bookmarkEnd w:id="45"/>
      <w:bookmarkEnd w:id="46"/>
    </w:p>
    <w:p>
      <w:pPr>
        <w:ind w:firstLine="480"/>
        <w:rPr>
          <w:rFonts w:hint="eastAsia"/>
        </w:rPr>
      </w:pPr>
      <w:r>
        <w:rPr>
          <w:rFonts w:hint="eastAsia"/>
        </w:rPr>
        <w:t>本学位点</w:t>
      </w:r>
      <w:r>
        <w:rPr>
          <w:rFonts w:hint="eastAsia"/>
          <w:lang w:val="en-US" w:eastAsia="zh-Hans"/>
        </w:rPr>
        <w:t>高度</w:t>
      </w:r>
      <w:r>
        <w:rPr>
          <w:rFonts w:hint="eastAsia"/>
        </w:rPr>
        <w:t>重视研究生学风和学术道德</w:t>
      </w:r>
      <w:r>
        <w:rPr>
          <w:rFonts w:hint="eastAsia"/>
          <w:lang w:val="en-US" w:eastAsia="zh-CN"/>
        </w:rPr>
        <w:t>培养</w:t>
      </w:r>
      <w:r>
        <w:rPr>
          <w:rFonts w:hint="eastAsia"/>
        </w:rPr>
        <w:t>，</w:t>
      </w:r>
      <w:r>
        <w:rPr>
          <w:rFonts w:hint="eastAsia"/>
          <w:lang w:val="en-US" w:eastAsia="zh-CN"/>
        </w:rPr>
        <w:t>旨在</w:t>
      </w:r>
      <w:r>
        <w:rPr>
          <w:rFonts w:hint="eastAsia"/>
        </w:rPr>
        <w:t>构建一个诚信、规范的学术氛围。</w:t>
      </w:r>
      <w:r>
        <w:rPr>
          <w:rFonts w:hint="eastAsia"/>
          <w:lang w:val="en-US" w:eastAsia="zh-CN"/>
        </w:rPr>
        <w:t>一</w:t>
      </w:r>
      <w:r>
        <w:rPr>
          <w:rFonts w:hint="eastAsia"/>
        </w:rPr>
        <w:t>是</w:t>
      </w:r>
      <w:r>
        <w:rPr>
          <w:rFonts w:hint="eastAsia"/>
          <w:lang w:val="en-US" w:eastAsia="zh-Hans"/>
        </w:rPr>
        <w:t>积极</w:t>
      </w:r>
      <w:r>
        <w:rPr>
          <w:rFonts w:hint="eastAsia"/>
        </w:rPr>
        <w:t>开展导师模范教育。</w:t>
      </w:r>
      <w:r>
        <w:rPr>
          <w:rFonts w:hint="eastAsia"/>
          <w:lang w:val="en-US" w:eastAsia="zh-CN"/>
        </w:rPr>
        <w:t>学位点</w:t>
      </w:r>
      <w:r>
        <w:rPr>
          <w:rFonts w:hint="eastAsia"/>
        </w:rPr>
        <w:t>历来选拔</w:t>
      </w:r>
      <w:r>
        <w:rPr>
          <w:rFonts w:hint="eastAsia"/>
          <w:lang w:val="en-US" w:eastAsia="zh-Hans"/>
        </w:rPr>
        <w:t>道德品牌高尚</w:t>
      </w:r>
      <w:r>
        <w:rPr>
          <w:rFonts w:hint="default"/>
          <w:lang w:eastAsia="zh-Hans"/>
        </w:rPr>
        <w:t>、</w:t>
      </w:r>
      <w:r>
        <w:rPr>
          <w:rFonts w:hint="eastAsia"/>
        </w:rPr>
        <w:t>学术水平</w:t>
      </w:r>
      <w:r>
        <w:rPr>
          <w:rFonts w:hint="eastAsia"/>
          <w:lang w:val="en-US" w:eastAsia="zh-Hans"/>
        </w:rPr>
        <w:t>拔尖</w:t>
      </w:r>
      <w:r>
        <w:rPr>
          <w:rFonts w:hint="eastAsia"/>
        </w:rPr>
        <w:t>、具有高度责任心的教师担任研究生导师，</w:t>
      </w:r>
      <w:r>
        <w:rPr>
          <w:rFonts w:hint="eastAsia"/>
          <w:lang w:val="en-US" w:eastAsia="zh-Hans"/>
        </w:rPr>
        <w:t>注重其</w:t>
      </w:r>
      <w:r>
        <w:rPr>
          <w:rFonts w:hint="eastAsia"/>
        </w:rPr>
        <w:t>在教研中展现科学的探索性、严谨性、批判性和创新性</w:t>
      </w:r>
      <w:r>
        <w:rPr>
          <w:rFonts w:hint="eastAsia"/>
          <w:lang w:val="en-US" w:eastAsia="zh-CN"/>
        </w:rPr>
        <w:t>；</w:t>
      </w:r>
      <w:r>
        <w:rPr>
          <w:rFonts w:hint="eastAsia"/>
          <w:lang w:val="en-US" w:eastAsia="zh-Hans"/>
        </w:rPr>
        <w:t>同时</w:t>
      </w:r>
      <w:r>
        <w:rPr>
          <w:rFonts w:hint="default"/>
          <w:lang w:eastAsia="zh-Hans"/>
        </w:rPr>
        <w:t>，</w:t>
      </w:r>
      <w:r>
        <w:rPr>
          <w:rFonts w:hint="eastAsia"/>
        </w:rPr>
        <w:t>紧抓师德师风建设</w:t>
      </w:r>
      <w:r>
        <w:rPr>
          <w:rFonts w:hint="eastAsia"/>
          <w:lang w:eastAsia="zh-CN"/>
        </w:rPr>
        <w:t>，</w:t>
      </w:r>
      <w:r>
        <w:rPr>
          <w:rFonts w:hint="eastAsia"/>
        </w:rPr>
        <w:t>充分发挥导师在研究生思想政治教育中</w:t>
      </w:r>
      <w:r>
        <w:rPr>
          <w:rFonts w:hint="eastAsia"/>
          <w:lang w:eastAsia="zh-Hans"/>
        </w:rPr>
        <w:t>“</w:t>
      </w:r>
      <w:r>
        <w:rPr>
          <w:rFonts w:hint="eastAsia"/>
          <w:lang w:val="en-US" w:eastAsia="zh-Hans"/>
        </w:rPr>
        <w:t>第一</w:t>
      </w:r>
      <w:r>
        <w:rPr>
          <w:rFonts w:hint="eastAsia"/>
        </w:rPr>
        <w:t>责任人</w:t>
      </w:r>
      <w:r>
        <w:rPr>
          <w:rFonts w:hint="eastAsia"/>
          <w:lang w:eastAsia="zh-Hans"/>
        </w:rPr>
        <w:t>”</w:t>
      </w:r>
      <w:r>
        <w:rPr>
          <w:rFonts w:hint="eastAsia"/>
        </w:rPr>
        <w:t>作用</w:t>
      </w:r>
      <w:r>
        <w:rPr>
          <w:rFonts w:hint="eastAsia"/>
          <w:lang w:eastAsia="zh-CN"/>
        </w:rPr>
        <w:t>，</w:t>
      </w:r>
      <w:r>
        <w:rPr>
          <w:rFonts w:hint="eastAsia"/>
        </w:rPr>
        <w:t>全面落实导师“立德树人”职责，</w:t>
      </w:r>
      <w:r>
        <w:rPr>
          <w:rFonts w:hint="eastAsia"/>
          <w:lang w:val="en-US" w:eastAsia="zh-CN"/>
        </w:rPr>
        <w:t>通过</w:t>
      </w:r>
      <w:r>
        <w:rPr>
          <w:rFonts w:hint="eastAsia"/>
          <w:lang w:val="en-US" w:eastAsia="zh-Hans"/>
        </w:rPr>
        <w:t>强化</w:t>
      </w:r>
      <w:r>
        <w:rPr>
          <w:rFonts w:hint="eastAsia" w:ascii="宋体" w:hAnsi="宋体" w:eastAsia="宋体" w:cs="宋体"/>
          <w:i w:val="0"/>
          <w:iCs w:val="0"/>
          <w:caps w:val="0"/>
          <w:color w:val="000000"/>
          <w:spacing w:val="0"/>
          <w:kern w:val="0"/>
          <w:sz w:val="24"/>
          <w:szCs w:val="24"/>
          <w:shd w:val="clear" w:fill="FFFFFF"/>
          <w:vertAlign w:val="baseline"/>
          <w:lang w:val="en-US" w:eastAsia="zh-CN" w:bidi="ar"/>
        </w:rPr>
        <w:t>教育引导、健全体制机制、严格一票否决</w:t>
      </w:r>
      <w:r>
        <w:rPr>
          <w:rFonts w:hint="default" w:ascii="宋体" w:hAnsi="宋体" w:cs="宋体"/>
          <w:i w:val="0"/>
          <w:iCs w:val="0"/>
          <w:caps w:val="0"/>
          <w:color w:val="000000"/>
          <w:spacing w:val="0"/>
          <w:kern w:val="0"/>
          <w:sz w:val="24"/>
          <w:szCs w:val="24"/>
          <w:shd w:val="clear" w:fill="FFFFFF"/>
          <w:vertAlign w:val="baseline"/>
          <w:lang w:eastAsia="zh-CN" w:bidi="ar"/>
        </w:rPr>
        <w:t>，</w:t>
      </w:r>
      <w:r>
        <w:rPr>
          <w:rFonts w:hint="eastAsia" w:ascii="宋体" w:hAnsi="宋体" w:cs="宋体"/>
          <w:i w:val="0"/>
          <w:iCs w:val="0"/>
          <w:caps w:val="0"/>
          <w:color w:val="000000"/>
          <w:spacing w:val="0"/>
          <w:kern w:val="0"/>
          <w:sz w:val="24"/>
          <w:szCs w:val="24"/>
          <w:shd w:val="clear" w:fill="FFFFFF"/>
          <w:vertAlign w:val="baseline"/>
          <w:lang w:val="en-US" w:eastAsia="zh-Hans" w:bidi="ar"/>
        </w:rPr>
        <w:t>引导各学科</w:t>
      </w:r>
      <w:r>
        <w:rPr>
          <w:rFonts w:hint="eastAsia" w:ascii="宋体" w:hAnsi="宋体" w:cs="宋体"/>
          <w:i w:val="0"/>
          <w:iCs w:val="0"/>
          <w:caps w:val="0"/>
          <w:color w:val="000000"/>
          <w:spacing w:val="0"/>
          <w:kern w:val="0"/>
          <w:sz w:val="24"/>
          <w:szCs w:val="24"/>
          <w:shd w:val="clear" w:fill="FFFFFF"/>
          <w:vertAlign w:val="baseline"/>
          <w:lang w:val="en-US" w:eastAsia="zh-CN" w:bidi="ar"/>
        </w:rPr>
        <w:t>导师</w:t>
      </w:r>
      <w:r>
        <w:rPr>
          <w:rFonts w:hint="eastAsia"/>
        </w:rPr>
        <w:t>自觉坚决守住师德底线。</w:t>
      </w:r>
      <w:r>
        <w:rPr>
          <w:rFonts w:hint="eastAsia"/>
          <w:lang w:val="en-US" w:eastAsia="zh-CN"/>
        </w:rPr>
        <w:t>2023年，学位点导师深入学习</w:t>
      </w:r>
      <w:r>
        <w:rPr>
          <w:rFonts w:hint="eastAsia" w:ascii="Times New Roman" w:hAnsi="Times New Roman" w:eastAsia="宋体" w:cs="Times New Roman"/>
          <w:kern w:val="2"/>
          <w:sz w:val="24"/>
          <w:szCs w:val="22"/>
          <w:lang w:val="en" w:eastAsia="zh-CN"/>
        </w:rPr>
        <w:t>《广东省社会科学院师德师风教育会议材料汇编》</w:t>
      </w:r>
      <w:r>
        <w:rPr>
          <w:rFonts w:hint="eastAsia" w:cs="Times New Roman"/>
          <w:kern w:val="2"/>
          <w:sz w:val="24"/>
          <w:szCs w:val="22"/>
          <w:lang w:val="en" w:eastAsia="zh-CN"/>
        </w:rPr>
        <w:t>，</w:t>
      </w:r>
      <w:r>
        <w:rPr>
          <w:rFonts w:hint="eastAsia" w:cs="Times New Roman"/>
          <w:kern w:val="2"/>
          <w:sz w:val="24"/>
          <w:szCs w:val="22"/>
          <w:lang w:val="en-US" w:eastAsia="zh-CN"/>
        </w:rPr>
        <w:t>积极参与师德</w:t>
      </w:r>
      <w:r>
        <w:rPr>
          <w:rFonts w:hint="eastAsia"/>
        </w:rPr>
        <w:t>师风教育专题会议</w:t>
      </w:r>
      <w:r>
        <w:rPr>
          <w:rFonts w:hint="eastAsia"/>
          <w:lang w:val="en-US" w:eastAsia="zh-CN"/>
        </w:rPr>
        <w:t>及</w:t>
      </w:r>
      <w:r>
        <w:rPr>
          <w:rFonts w:hint="eastAsia" w:ascii="Times New Roman" w:hAnsi="Times New Roman" w:eastAsia="宋体" w:cs="Times New Roman"/>
          <w:kern w:val="2"/>
          <w:sz w:val="24"/>
          <w:szCs w:val="22"/>
          <w:lang w:val="en-US" w:eastAsia="zh-CN"/>
        </w:rPr>
        <w:t>中山大学王金发教授</w:t>
      </w:r>
      <w:r>
        <w:rPr>
          <w:rFonts w:hint="eastAsia" w:cs="Times New Roman"/>
          <w:kern w:val="2"/>
          <w:sz w:val="24"/>
          <w:szCs w:val="22"/>
          <w:lang w:val="en-US" w:eastAsia="zh-CN"/>
        </w:rPr>
        <w:t>开设的“师德师风建设与研究生培养”专题讲座</w:t>
      </w:r>
      <w:r>
        <w:rPr>
          <w:rFonts w:hint="eastAsia" w:ascii="Times New Roman" w:hAnsi="Times New Roman" w:eastAsia="宋体" w:cs="Times New Roman"/>
          <w:kern w:val="2"/>
          <w:sz w:val="24"/>
          <w:szCs w:val="22"/>
          <w:lang w:val="en" w:eastAsia="zh-CN"/>
        </w:rPr>
        <w:t>，</w:t>
      </w:r>
      <w:r>
        <w:rPr>
          <w:rFonts w:hint="eastAsia" w:cs="Times New Roman"/>
          <w:kern w:val="2"/>
          <w:sz w:val="24"/>
          <w:szCs w:val="22"/>
          <w:lang w:val="en-US" w:eastAsia="zh-CN"/>
        </w:rPr>
        <w:t>思政队伍育人合力全面增强</w:t>
      </w:r>
      <w:r>
        <w:rPr>
          <w:rFonts w:hint="eastAsia" w:ascii="Times New Roman" w:hAnsi="Times New Roman" w:eastAsia="宋体" w:cs="Times New Roman"/>
          <w:kern w:val="2"/>
          <w:sz w:val="24"/>
          <w:szCs w:val="22"/>
          <w:lang w:val="en-US" w:eastAsia="zh-CN"/>
        </w:rPr>
        <w:t>。</w:t>
      </w:r>
      <w:r>
        <w:rPr>
          <w:rFonts w:hint="eastAsia"/>
          <w:lang w:val="en-US" w:eastAsia="zh-CN"/>
        </w:rPr>
        <w:t>二</w:t>
      </w:r>
      <w:r>
        <w:rPr>
          <w:rFonts w:hint="eastAsia"/>
        </w:rPr>
        <w:t>是利用各种科研活动如学术会议、论坛、讲座等，以及研究生部组织的各种社团活动、课外活动</w:t>
      </w:r>
      <w:r>
        <w:rPr>
          <w:rFonts w:hint="default"/>
        </w:rPr>
        <w:t>、</w:t>
      </w:r>
      <w:r>
        <w:rPr>
          <w:rFonts w:hint="eastAsia"/>
        </w:rPr>
        <w:t>思想政治课堂</w:t>
      </w:r>
      <w:r>
        <w:rPr>
          <w:rFonts w:hint="eastAsia"/>
          <w:lang w:val="en-US" w:eastAsia="zh-Hans"/>
        </w:rPr>
        <w:t>等</w:t>
      </w:r>
      <w:r>
        <w:rPr>
          <w:rFonts w:hint="eastAsia"/>
        </w:rPr>
        <w:t>，构建一个以诚信和创新为主题的良好科研生态和优良学风传承氛围，</w:t>
      </w:r>
      <w:r>
        <w:rPr>
          <w:rFonts w:hint="eastAsia"/>
          <w:lang w:val="en-US" w:eastAsia="zh-Hans"/>
        </w:rPr>
        <w:t>助力</w:t>
      </w:r>
      <w:r>
        <w:rPr>
          <w:rFonts w:hint="eastAsia"/>
        </w:rPr>
        <w:t>研究生树立科学道德和学术规范的正确价值观念</w:t>
      </w:r>
      <w:r>
        <w:rPr>
          <w:rFonts w:hint="eastAsia"/>
          <w:lang w:eastAsia="zh-CN"/>
        </w:rPr>
        <w:t>；</w:t>
      </w:r>
      <w:r>
        <w:rPr>
          <w:rFonts w:hint="eastAsia"/>
          <w:lang w:val="en-US" w:eastAsia="zh-Hans"/>
        </w:rPr>
        <w:t>同时</w:t>
      </w:r>
      <w:r>
        <w:rPr>
          <w:rFonts w:hint="default"/>
          <w:lang w:eastAsia="zh-Hans"/>
        </w:rPr>
        <w:t>，</w:t>
      </w:r>
      <w:r>
        <w:rPr>
          <w:rFonts w:hint="eastAsia"/>
        </w:rPr>
        <w:t>通过各类正反面案例和名人事例开展学术诚信教育，为研究生阐明做学问的态度和方法，指明良好学风的努力方向。</w:t>
      </w:r>
      <w:r>
        <w:rPr>
          <w:rFonts w:hint="eastAsia"/>
          <w:lang w:val="en-US" w:eastAsia="zh-Hans"/>
        </w:rPr>
        <w:t>三</w:t>
      </w:r>
      <w:r>
        <w:rPr>
          <w:rFonts w:hint="eastAsia"/>
        </w:rPr>
        <w:t>是开展研究生自律教育，使其真正意识到学术不端行为对个人和社会造成的影响，以更加严谨的态度面对学术研究</w:t>
      </w:r>
      <w:r>
        <w:rPr>
          <w:rFonts w:hint="eastAsia"/>
          <w:lang w:eastAsia="zh-CN"/>
        </w:rPr>
        <w:t>；</w:t>
      </w:r>
      <w:r>
        <w:rPr>
          <w:rFonts w:hint="eastAsia"/>
          <w:lang w:val="en-US" w:eastAsia="zh-CN"/>
        </w:rPr>
        <w:t>同时，学位点</w:t>
      </w:r>
      <w:r>
        <w:rPr>
          <w:rFonts w:hint="eastAsia"/>
        </w:rPr>
        <w:t>严惩学术不端行为，认真执行有关研究生学术行为的管理办法及惩治条例，坚持奖罚分明的原则，有效减少学术不端行为的产生。</w:t>
      </w:r>
    </w:p>
    <w:p>
      <w:pPr>
        <w:ind w:firstLine="480"/>
        <w:rPr>
          <w:rFonts w:hint="eastAsia"/>
        </w:rPr>
      </w:pPr>
      <w:r>
        <w:rPr>
          <w:rFonts w:hint="eastAsia"/>
        </w:rPr>
        <w:t>到目前为止，本学位点科学道德和学术规范教育良好，不存在学术不端行为。</w:t>
      </w:r>
    </w:p>
    <w:p>
      <w:pPr>
        <w:pStyle w:val="3"/>
        <w:keepNext w:val="0"/>
        <w:keepLines w:val="0"/>
        <w:widowControl w:val="0"/>
        <w:ind w:firstLine="723" w:firstLineChars="200"/>
        <w:rPr>
          <w:rFonts w:hint="eastAsia"/>
        </w:rPr>
      </w:pPr>
      <w:bookmarkStart w:id="47" w:name="_Toc27851"/>
      <w:bookmarkStart w:id="48" w:name="_Toc21435"/>
      <w:bookmarkStart w:id="49" w:name="_Toc4650"/>
      <w:r>
        <w:rPr>
          <w:rFonts w:hint="eastAsia"/>
          <w:lang w:val="en-US" w:eastAsia="zh-CN"/>
        </w:rPr>
        <w:t>三</w:t>
      </w:r>
      <w:r>
        <w:rPr>
          <w:rFonts w:hint="eastAsia"/>
        </w:rPr>
        <w:t>、建设成效</w:t>
      </w:r>
      <w:bookmarkEnd w:id="29"/>
      <w:bookmarkEnd w:id="47"/>
      <w:bookmarkEnd w:id="48"/>
      <w:bookmarkEnd w:id="49"/>
    </w:p>
    <w:p>
      <w:pPr>
        <w:pStyle w:val="4"/>
        <w:keepNext w:val="0"/>
        <w:keepLines w:val="0"/>
        <w:widowControl w:val="0"/>
        <w:ind w:firstLine="602" w:firstLineChars="200"/>
        <w:rPr>
          <w:rFonts w:hint="eastAsia" w:eastAsia="黑体"/>
          <w:color w:val="FF0000"/>
          <w:lang w:eastAsia="zh-CN"/>
        </w:rPr>
      </w:pPr>
      <w:bookmarkStart w:id="50" w:name="_Toc21401"/>
      <w:bookmarkStart w:id="51" w:name="_Toc101036326"/>
      <w:bookmarkStart w:id="52" w:name="_Toc20681"/>
      <w:bookmarkStart w:id="53" w:name="_Toc32251"/>
      <w:r>
        <w:rPr>
          <w:rFonts w:hint="eastAsia"/>
        </w:rPr>
        <w:t>（一）</w:t>
      </w:r>
      <w:r>
        <w:rPr>
          <w:rFonts w:hint="eastAsia"/>
          <w:color w:val="auto"/>
          <w:highlight w:val="none"/>
        </w:rPr>
        <w:t>导师科研成果</w:t>
      </w:r>
      <w:bookmarkEnd w:id="50"/>
      <w:bookmarkEnd w:id="51"/>
      <w:bookmarkEnd w:id="52"/>
      <w:bookmarkEnd w:id="53"/>
    </w:p>
    <w:p>
      <w:pPr>
        <w:pStyle w:val="5"/>
        <w:keepNext w:val="0"/>
        <w:keepLines w:val="0"/>
        <w:widowControl w:val="0"/>
        <w:ind w:firstLine="560" w:firstLineChars="200"/>
        <w:rPr>
          <w:rFonts w:hint="eastAsia"/>
          <w:lang w:val="en-US" w:eastAsia="zh-CN"/>
        </w:rPr>
      </w:pPr>
      <w:r>
        <w:rPr>
          <w:rFonts w:hint="eastAsia"/>
          <w:lang w:val="en-US" w:eastAsia="zh-CN"/>
        </w:rPr>
        <w:t>1.科学研究</w:t>
      </w:r>
    </w:p>
    <w:p>
      <w:pPr>
        <w:ind w:firstLine="480"/>
        <w:rPr>
          <w:rFonts w:hint="eastAsia"/>
        </w:rPr>
      </w:pPr>
      <w:r>
        <w:rPr>
          <w:rFonts w:hint="eastAsia"/>
        </w:rPr>
        <w:t>本学位点在科学研究方面，一直推行科研合作团队化，鼓励团队</w:t>
      </w:r>
      <w:r>
        <w:rPr>
          <w:rFonts w:hint="eastAsia"/>
          <w:lang w:val="en-US" w:eastAsia="zh-Hans"/>
        </w:rPr>
        <w:t>沿着</w:t>
      </w:r>
      <w:r>
        <w:rPr>
          <w:rFonts w:hint="eastAsia"/>
        </w:rPr>
        <w:t>明确的研究方向，</w:t>
      </w:r>
      <w:r>
        <w:rPr>
          <w:rFonts w:hint="eastAsia"/>
          <w:lang w:val="en-US" w:eastAsia="zh-Hans"/>
        </w:rPr>
        <w:t>围绕</w:t>
      </w:r>
      <w:r>
        <w:rPr>
          <w:rFonts w:hint="eastAsia"/>
        </w:rPr>
        <w:t>学科前沿问题和</w:t>
      </w:r>
      <w:r>
        <w:rPr>
          <w:rFonts w:hint="eastAsia"/>
          <w:lang w:val="en-US" w:eastAsia="zh-CN"/>
        </w:rPr>
        <w:t>经济社会发展</w:t>
      </w:r>
      <w:r>
        <w:rPr>
          <w:rFonts w:hint="eastAsia"/>
        </w:rPr>
        <w:t>现实问题开展基础性、开创性、前瞻性研究，形成产学研合力。202</w:t>
      </w:r>
      <w:r>
        <w:rPr>
          <w:rFonts w:hint="eastAsia"/>
          <w:lang w:val="en-US" w:eastAsia="zh-CN"/>
        </w:rPr>
        <w:t>3</w:t>
      </w:r>
      <w:r>
        <w:rPr>
          <w:rFonts w:hint="eastAsia"/>
        </w:rPr>
        <w:t>年，</w:t>
      </w:r>
      <w:r>
        <w:rPr>
          <w:rFonts w:hint="eastAsia"/>
          <w:lang w:val="en-US" w:eastAsia="zh-CN"/>
        </w:rPr>
        <w:t>学位点</w:t>
      </w:r>
      <w:r>
        <w:rPr>
          <w:rFonts w:hint="eastAsia"/>
          <w:lang w:val="en-US" w:eastAsia="zh-Hans"/>
        </w:rPr>
        <w:t>各</w:t>
      </w:r>
      <w:r>
        <w:rPr>
          <w:rFonts w:hint="eastAsia"/>
          <w:lang w:val="en-US" w:eastAsia="zh-CN"/>
        </w:rPr>
        <w:t>导师</w:t>
      </w:r>
      <w:r>
        <w:rPr>
          <w:rFonts w:hint="eastAsia"/>
        </w:rPr>
        <w:t>聚焦智库建设和学科发展双轮驱动，</w:t>
      </w:r>
      <w:r>
        <w:rPr>
          <w:rFonts w:hint="eastAsia"/>
          <w:lang w:val="en-US" w:eastAsia="zh-Hans"/>
        </w:rPr>
        <w:t>扎实</w:t>
      </w:r>
      <w:r>
        <w:rPr>
          <w:rFonts w:hint="eastAsia"/>
        </w:rPr>
        <w:t>推进科研工作高质量发展。</w:t>
      </w:r>
    </w:p>
    <w:p>
      <w:pPr>
        <w:ind w:firstLine="480"/>
        <w:rPr>
          <w:rFonts w:hint="default"/>
          <w:color w:val="auto"/>
          <w:highlight w:val="yellow"/>
        </w:rPr>
      </w:pPr>
      <w:r>
        <w:rPr>
          <w:rFonts w:hint="eastAsia"/>
          <w:b w:val="0"/>
          <w:bCs w:val="0"/>
        </w:rPr>
        <w:t>一是厚筑基础研究优势。</w:t>
      </w:r>
      <w:r>
        <w:rPr>
          <w:rFonts w:hint="eastAsia"/>
        </w:rPr>
        <w:t>在研国家社科基金项目</w:t>
      </w:r>
      <w:r>
        <w:rPr>
          <w:rFonts w:hint="eastAsia"/>
          <w:lang w:val="en-US" w:eastAsia="zh-CN"/>
        </w:rPr>
        <w:t>3</w:t>
      </w:r>
      <w:r>
        <w:rPr>
          <w:rFonts w:hint="eastAsia"/>
        </w:rPr>
        <w:t>项、省市社科基金</w:t>
      </w:r>
      <w:r>
        <w:rPr>
          <w:rFonts w:hint="eastAsia"/>
          <w:lang w:val="en-US" w:eastAsia="zh-CN"/>
        </w:rPr>
        <w:t>项目15</w:t>
      </w:r>
      <w:r>
        <w:rPr>
          <w:rFonts w:hint="eastAsia"/>
        </w:rPr>
        <w:t>项；出版《科技自立自强的中国道路——新型举国体制下强化国家战 略科技力量》</w:t>
      </w:r>
      <w:r>
        <w:rPr>
          <w:rFonts w:hint="eastAsia"/>
          <w:lang w:eastAsia="zh-CN"/>
        </w:rPr>
        <w:t>《粤港澳大湾区高水平人才高地建设研究》</w:t>
      </w:r>
      <w:r>
        <w:rPr>
          <w:rFonts w:hint="eastAsia"/>
          <w:color w:val="auto"/>
          <w:lang w:eastAsia="zh-CN"/>
        </w:rPr>
        <w:t>《</w:t>
      </w:r>
      <w:r>
        <w:rPr>
          <w:rFonts w:hint="eastAsia"/>
          <w:color w:val="auto"/>
          <w:lang w:val="en-US" w:eastAsia="zh-CN"/>
        </w:rPr>
        <w:t>防范化解金融风险的广东实践研究》《广东产业高质量发展若干研究》</w:t>
      </w:r>
      <w:r>
        <w:rPr>
          <w:rFonts w:hint="eastAsia"/>
          <w:color w:val="auto"/>
          <w:lang w:eastAsia="zh-CN"/>
        </w:rPr>
        <w:t>《</w:t>
      </w:r>
      <w:r>
        <w:rPr>
          <w:rFonts w:hint="eastAsia"/>
          <w:color w:val="auto"/>
        </w:rPr>
        <w:t>横琴</w:t>
      </w:r>
      <w:r>
        <w:rPr>
          <w:rFonts w:hint="eastAsia"/>
          <w:color w:val="auto"/>
          <w:lang w:eastAsia="zh-CN"/>
        </w:rPr>
        <w:t>：</w:t>
      </w:r>
      <w:r>
        <w:rPr>
          <w:rFonts w:hint="eastAsia"/>
          <w:color w:val="auto"/>
        </w:rPr>
        <w:t>打造粤澳产业协同发展新高地</w:t>
      </w:r>
      <w:r>
        <w:rPr>
          <w:rFonts w:hint="eastAsia"/>
          <w:color w:val="auto"/>
          <w:lang w:eastAsia="zh-CN"/>
        </w:rPr>
        <w:t>》</w:t>
      </w:r>
      <w:r>
        <w:rPr>
          <w:rFonts w:hint="eastAsia"/>
        </w:rPr>
        <w:t>《粤港澳大湾区世界级城市群建设》</w:t>
      </w:r>
      <w:r>
        <w:rPr>
          <w:rFonts w:hint="eastAsia"/>
          <w:color w:val="auto"/>
          <w:lang w:val="en-US" w:eastAsia="zh-CN"/>
        </w:rPr>
        <w:t>和《中国经济特区四十年工业化道路：从比较优势到竞争优势》英文版</w:t>
      </w:r>
      <w:r>
        <w:rPr>
          <w:rFonts w:hint="eastAsia"/>
          <w:lang w:val="en-US" w:eastAsia="zh-CN"/>
        </w:rPr>
        <w:t>等</w:t>
      </w:r>
      <w:r>
        <w:rPr>
          <w:rFonts w:hint="eastAsia"/>
        </w:rPr>
        <w:t>学术专著</w:t>
      </w:r>
      <w:r>
        <w:rPr>
          <w:rFonts w:hint="eastAsia"/>
          <w:lang w:val="en-US" w:eastAsia="zh-CN"/>
        </w:rPr>
        <w:t>9</w:t>
      </w:r>
      <w:r>
        <w:rPr>
          <w:rFonts w:hint="eastAsia"/>
        </w:rPr>
        <w:t>部；发表</w:t>
      </w:r>
      <w:r>
        <w:rPr>
          <w:rFonts w:hint="eastAsia"/>
          <w:lang w:eastAsia="zh-CN"/>
        </w:rPr>
        <w:t>《粤港澳大湾区国际金融枢纽建设的理论边辑、国际借鉴与实践路径探究》《我国文化产业高质量发展的理论逻辑与政策取向》</w:t>
      </w:r>
      <w:r>
        <w:rPr>
          <w:rFonts w:hint="eastAsia" w:eastAsia="宋体"/>
          <w:lang w:eastAsia="zh-CN"/>
        </w:rPr>
        <w:t>《空间扩展与效率提升</w:t>
      </w:r>
      <w:r>
        <w:rPr>
          <w:rFonts w:hint="eastAsia"/>
          <w:lang w:eastAsia="zh-CN"/>
        </w:rPr>
        <w:t>：</w:t>
      </w:r>
      <w:r>
        <w:rPr>
          <w:rFonts w:hint="eastAsia" w:eastAsia="宋体"/>
          <w:lang w:eastAsia="zh-CN"/>
        </w:rPr>
        <w:t>统一大市场研究的国内进展与未来方向 》《</w:t>
      </w:r>
      <w:r>
        <w:rPr>
          <w:rFonts w:hint="eastAsia"/>
        </w:rPr>
        <w:t>环境规制、科技创新投入与经济发展质量——来自中国地级市层面的证据</w:t>
      </w:r>
      <w:r>
        <w:rPr>
          <w:rFonts w:hint="eastAsia" w:eastAsia="宋体"/>
          <w:lang w:eastAsia="zh-CN"/>
        </w:rPr>
        <w:t>》</w:t>
      </w:r>
      <w:r>
        <w:rPr>
          <w:rFonts w:hint="eastAsia"/>
          <w:lang w:val="en-US" w:eastAsia="zh-CN"/>
        </w:rPr>
        <w:t>等核心期刊</w:t>
      </w:r>
      <w:r>
        <w:rPr>
          <w:rFonts w:hint="eastAsia"/>
        </w:rPr>
        <w:t>论</w:t>
      </w:r>
      <w:r>
        <w:rPr>
          <w:rFonts w:hint="eastAsia"/>
          <w:color w:val="auto"/>
        </w:rPr>
        <w:t>文</w:t>
      </w:r>
      <w:r>
        <w:rPr>
          <w:rFonts w:hint="eastAsia"/>
          <w:color w:val="auto"/>
          <w:lang w:val="en-US" w:eastAsia="zh-CN"/>
        </w:rPr>
        <w:t>8</w:t>
      </w:r>
      <w:r>
        <w:rPr>
          <w:rFonts w:hint="eastAsia"/>
          <w:color w:val="auto"/>
        </w:rPr>
        <w:t>篇</w:t>
      </w:r>
      <w:r>
        <w:rPr>
          <w:rFonts w:hint="eastAsia"/>
          <w:color w:val="auto"/>
          <w:lang w:eastAsia="zh-CN"/>
        </w:rPr>
        <w:t>、</w:t>
      </w:r>
      <w:r>
        <w:rPr>
          <w:rFonts w:hint="eastAsia"/>
          <w:color w:val="auto"/>
          <w:lang w:val="en-US" w:eastAsia="zh-CN"/>
        </w:rPr>
        <w:t>普通期刊论文29篇；在《光明日报》《中国社会科学报》《中国旅游报》等国家部委及《南方日报》《羊城晚报》等省部级新闻媒体理论版发表报刊文章17篇；</w:t>
      </w:r>
      <w:r>
        <w:rPr>
          <w:rFonts w:hint="eastAsia"/>
          <w:color w:val="auto"/>
        </w:rPr>
        <w:t>组织实施</w:t>
      </w:r>
      <w:r>
        <w:rPr>
          <w:rFonts w:hint="eastAsia"/>
          <w:color w:val="auto"/>
          <w:lang w:val="en-US" w:eastAsia="zh-Hans"/>
        </w:rPr>
        <w:t>院内课题</w:t>
      </w:r>
      <w:r>
        <w:rPr>
          <w:rFonts w:hint="eastAsia"/>
          <w:color w:val="auto"/>
          <w:lang w:eastAsia="zh-CN"/>
        </w:rPr>
        <w:t>“再造竞争优势：广东制造业从‘起家’到‘当家’的高质量发展之路研究”“区域协调发展与共同富裕系列丛书”</w:t>
      </w:r>
      <w:r>
        <w:rPr>
          <w:rFonts w:hint="eastAsia"/>
          <w:color w:val="auto"/>
          <w:lang w:val="en-US" w:eastAsia="zh-CN"/>
        </w:rPr>
        <w:t>等</w:t>
      </w:r>
      <w:r>
        <w:rPr>
          <w:rFonts w:hint="eastAsia"/>
          <w:color w:val="auto"/>
        </w:rPr>
        <w:t>重点课题项目</w:t>
      </w:r>
      <w:r>
        <w:rPr>
          <w:rFonts w:hint="default"/>
          <w:color w:val="auto"/>
          <w:highlight w:val="none"/>
        </w:rPr>
        <w:t>。</w:t>
      </w:r>
    </w:p>
    <w:p>
      <w:pPr>
        <w:ind w:firstLine="480"/>
        <w:rPr>
          <w:rFonts w:hint="eastAsia"/>
        </w:rPr>
      </w:pPr>
      <w:r>
        <w:rPr>
          <w:rFonts w:hint="eastAsia"/>
          <w:b w:val="0"/>
          <w:bCs w:val="0"/>
        </w:rPr>
        <w:t>二是巩固咨政研究优势。</w:t>
      </w:r>
      <w:r>
        <w:rPr>
          <w:rFonts w:hint="eastAsia"/>
        </w:rPr>
        <w:t>向省委省政府报送《广东省社会</w:t>
      </w:r>
      <w:r>
        <w:rPr>
          <w:rFonts w:hint="eastAsia"/>
          <w:color w:val="auto"/>
        </w:rPr>
        <w:t>科学院专报》</w:t>
      </w:r>
      <w:r>
        <w:rPr>
          <w:rFonts w:hint="eastAsia"/>
          <w:color w:val="auto"/>
          <w:lang w:val="en-US" w:eastAsia="zh-CN"/>
        </w:rPr>
        <w:t>5</w:t>
      </w:r>
      <w:r>
        <w:rPr>
          <w:rFonts w:hint="eastAsia"/>
          <w:color w:val="auto"/>
        </w:rPr>
        <w:t>期</w:t>
      </w:r>
      <w:r>
        <w:rPr>
          <w:rFonts w:hint="eastAsia"/>
          <w:color w:val="auto"/>
          <w:lang w:eastAsia="zh-CN"/>
        </w:rPr>
        <w:t>、《南方智库专报》</w:t>
      </w:r>
      <w:r>
        <w:rPr>
          <w:rFonts w:hint="eastAsia"/>
          <w:color w:val="auto"/>
          <w:highlight w:val="none"/>
          <w:lang w:val="en-US" w:eastAsia="zh-CN"/>
        </w:rPr>
        <w:t>6期</w:t>
      </w:r>
      <w:r>
        <w:rPr>
          <w:rFonts w:hint="eastAsia"/>
          <w:color w:val="auto"/>
        </w:rPr>
        <w:t>，</w:t>
      </w:r>
      <w:r>
        <w:rPr>
          <w:rFonts w:hint="eastAsia"/>
          <w:color w:val="auto"/>
          <w:lang w:val="en-US" w:eastAsia="zh-CN"/>
        </w:rPr>
        <w:t>多篇</w:t>
      </w:r>
      <w:r>
        <w:rPr>
          <w:rFonts w:hint="eastAsia"/>
          <w:color w:val="auto"/>
        </w:rPr>
        <w:t>获省委</w:t>
      </w:r>
      <w:r>
        <w:rPr>
          <w:rFonts w:hint="eastAsia"/>
        </w:rPr>
        <w:t>省政府</w:t>
      </w:r>
      <w:r>
        <w:rPr>
          <w:rFonts w:hint="eastAsia"/>
          <w:color w:val="auto"/>
        </w:rPr>
        <w:t>主要领导肯定性批示</w:t>
      </w:r>
      <w:r>
        <w:rPr>
          <w:rFonts w:hint="eastAsia"/>
          <w:color w:val="auto"/>
          <w:lang w:eastAsia="zh-CN"/>
        </w:rPr>
        <w:t>；</w:t>
      </w:r>
      <w:r>
        <w:rPr>
          <w:rFonts w:hint="eastAsia"/>
          <w:color w:val="auto"/>
          <w:highlight w:val="none"/>
          <w:lang w:val="en-US" w:eastAsia="zh-CN"/>
        </w:rPr>
        <w:t>承担上级交办课题6项，形成高质量决策咨询调研报告二十余份</w:t>
      </w:r>
      <w:r>
        <w:rPr>
          <w:rFonts w:hint="eastAsia"/>
          <w:color w:val="auto"/>
          <w:lang w:val="en-US" w:eastAsia="zh-CN"/>
        </w:rPr>
        <w:t>。</w:t>
      </w:r>
      <w:r>
        <w:rPr>
          <w:rFonts w:hint="eastAsia" w:ascii="Times New Roman" w:eastAsia="宋体"/>
          <w:color w:val="auto"/>
          <w:lang w:val="en-US" w:eastAsia="zh-CN"/>
        </w:rPr>
        <w:t>参与</w:t>
      </w:r>
      <w:r>
        <w:rPr>
          <w:rFonts w:hint="eastAsia"/>
          <w:color w:val="auto"/>
        </w:rPr>
        <w:t>撰写</w:t>
      </w:r>
      <w:r>
        <w:rPr>
          <w:rFonts w:hint="eastAsia" w:eastAsia="宋体"/>
          <w:color w:val="auto"/>
          <w:lang w:eastAsia="zh-CN"/>
        </w:rPr>
        <w:t>《广东省“十四五”规划纲要第三方评估报告》以及《广东经济社会形势分析与预测（2023）》《广东乡村振兴发展报告（2023）》《粤港澳大湾区建设报告（2023）》《中国区域经济发展报告（</w:t>
      </w:r>
      <w:r>
        <w:rPr>
          <w:rFonts w:hint="eastAsia" w:ascii="Times New Roman" w:eastAsia="宋体"/>
          <w:color w:val="auto"/>
          <w:lang w:val="en-US" w:eastAsia="zh-CN"/>
        </w:rPr>
        <w:t>2022-2023</w:t>
      </w:r>
      <w:r>
        <w:rPr>
          <w:rFonts w:hint="eastAsia" w:eastAsia="宋体"/>
          <w:color w:val="auto"/>
          <w:lang w:eastAsia="zh-CN"/>
        </w:rPr>
        <w:t>）》等</w:t>
      </w:r>
      <w:r>
        <w:rPr>
          <w:rFonts w:hint="eastAsia" w:ascii="Times New Roman" w:eastAsia="宋体"/>
          <w:color w:val="auto"/>
          <w:lang w:val="en-US" w:eastAsia="zh-CN"/>
        </w:rPr>
        <w:t>4</w:t>
      </w:r>
      <w:r>
        <w:rPr>
          <w:rFonts w:hint="eastAsia" w:eastAsia="宋体"/>
          <w:color w:val="auto"/>
          <w:lang w:eastAsia="zh-CN"/>
        </w:rPr>
        <w:t>本蓝皮书</w:t>
      </w:r>
      <w:r>
        <w:rPr>
          <w:rFonts w:hint="eastAsia"/>
        </w:rPr>
        <w:t>。</w:t>
      </w:r>
      <w:r>
        <w:rPr>
          <w:rFonts w:hint="default"/>
          <w:lang w:eastAsia="zh-CN"/>
        </w:rPr>
        <w:t>2023</w:t>
      </w:r>
      <w:r>
        <w:rPr>
          <w:rFonts w:hint="eastAsia"/>
          <w:lang w:val="en-US" w:eastAsia="zh-Hans"/>
        </w:rPr>
        <w:t>年</w:t>
      </w:r>
      <w:r>
        <w:rPr>
          <w:rFonts w:hint="default"/>
          <w:lang w:eastAsia="zh-Hans"/>
        </w:rPr>
        <w:t>，</w:t>
      </w:r>
      <w:r>
        <w:rPr>
          <w:rFonts w:hint="eastAsia"/>
          <w:lang w:val="en-US" w:eastAsia="zh-Hans"/>
        </w:rPr>
        <w:t>本学位点</w:t>
      </w:r>
      <w:r>
        <w:rPr>
          <w:rFonts w:hint="eastAsia"/>
          <w:lang w:val="en-US" w:eastAsia="zh-CN"/>
        </w:rPr>
        <w:t>科研成果</w:t>
      </w:r>
      <w:r>
        <w:rPr>
          <w:rFonts w:hint="eastAsia"/>
          <w:lang w:val="en-US" w:eastAsia="zh-Hans"/>
        </w:rPr>
        <w:t>获得多项荣誉</w:t>
      </w:r>
      <w:r>
        <w:rPr>
          <w:rFonts w:hint="default"/>
          <w:lang w:eastAsia="zh-Hans"/>
        </w:rPr>
        <w:t>，</w:t>
      </w:r>
      <w:r>
        <w:rPr>
          <w:rFonts w:hint="eastAsia"/>
          <w:lang w:val="en-US" w:eastAsia="zh-Hans"/>
        </w:rPr>
        <w:t>社会影响力持续提升</w:t>
      </w:r>
      <w:r>
        <w:rPr>
          <w:rFonts w:hint="eastAsia"/>
          <w:lang w:val="en-US" w:eastAsia="zh-CN"/>
        </w:rPr>
        <w:t>。</w:t>
      </w:r>
      <w:r>
        <w:rPr>
          <w:rFonts w:hint="eastAsia"/>
          <w:lang w:val="en-US" w:eastAsia="zh-Hans"/>
        </w:rPr>
        <w:t>其中</w:t>
      </w:r>
      <w:r>
        <w:rPr>
          <w:rFonts w:hint="eastAsia"/>
          <w:lang w:val="en-US" w:eastAsia="zh-CN"/>
        </w:rPr>
        <w:t>，</w:t>
      </w:r>
      <w:r>
        <w:rPr>
          <w:rFonts w:hint="eastAsia" w:eastAsia="宋体"/>
          <w:color w:val="auto"/>
          <w:lang w:eastAsia="zh-CN"/>
        </w:rPr>
        <w:t>《广东省“十四五”规划纲要第三方评估报告》得到广东省发展和改革委员会充分肯定；</w:t>
      </w:r>
      <w:r>
        <w:rPr>
          <w:rFonts w:hint="eastAsia"/>
          <w:lang w:val="en-US" w:eastAsia="zh-CN"/>
        </w:rPr>
        <w:t>《乡村振兴发展报告（2022）》主报告荣获第十四届全国“优秀皮书报告奖”二等奖；《准确把握中国特色社会主义金融发展道路的实践要求》在省宣传部、广东省习近平新时代中国特色社会主义思想研究中心举办的《广东省学习贯彻党的二十大精神理论征文活动》中获得三等奖；《进一步完善我省防范化解地方隐性债务风险的预警体系研究》荣获省财政厅2022年度财政科研课题（非财政系统类）结项评审二等奖；《粤港澳大湾区金融高质量发展：历史沿革、理论逻辑和实践路径》获第十二届广东省优秀金融科研成果评选论文类二等奖。</w:t>
      </w:r>
    </w:p>
    <w:p>
      <w:pPr>
        <w:pStyle w:val="5"/>
        <w:keepNext w:val="0"/>
        <w:keepLines w:val="0"/>
        <w:widowControl w:val="0"/>
        <w:ind w:firstLine="560" w:firstLineChars="200"/>
        <w:rPr>
          <w:rFonts w:hint="eastAsia"/>
          <w:highlight w:val="none"/>
          <w:lang w:val="en-US" w:eastAsia="zh-CN"/>
        </w:rPr>
      </w:pPr>
      <w:r>
        <w:rPr>
          <w:rFonts w:hint="eastAsia"/>
          <w:highlight w:val="none"/>
          <w:lang w:val="en-US" w:eastAsia="zh-CN"/>
        </w:rPr>
        <w:t>2.社会服务</w:t>
      </w:r>
    </w:p>
    <w:p>
      <w:pPr>
        <w:ind w:firstLine="480"/>
        <w:rPr>
          <w:rFonts w:hint="default"/>
          <w:lang w:val="en-US" w:eastAsia="zh-CN"/>
        </w:rPr>
      </w:pPr>
      <w:r>
        <w:rPr>
          <w:rFonts w:hint="eastAsia"/>
          <w:lang w:val="en-US" w:eastAsia="zh-CN"/>
        </w:rPr>
        <w:t>本学位点</w:t>
      </w:r>
      <w:r>
        <w:rPr>
          <w:rFonts w:hint="eastAsia"/>
          <w:lang w:val="en-US" w:eastAsia="zh-Hans"/>
        </w:rPr>
        <w:t>高度重视</w:t>
      </w:r>
      <w:r>
        <w:rPr>
          <w:rFonts w:hint="eastAsia"/>
          <w:lang w:val="en-US" w:eastAsia="zh-CN"/>
        </w:rPr>
        <w:t>以科研带动教学和社会服务</w:t>
      </w:r>
      <w:r>
        <w:rPr>
          <w:rFonts w:hint="default"/>
          <w:lang w:eastAsia="zh-CN"/>
        </w:rPr>
        <w:t>。</w:t>
      </w:r>
      <w:r>
        <w:rPr>
          <w:rFonts w:hint="eastAsia"/>
          <w:lang w:val="en-US" w:eastAsia="zh-CN"/>
        </w:rPr>
        <w:t>依托各专业在海洋经济、技术创新与经济发展、旅游经济、绿色经济、中国特色区域经济与产业理论、区域城镇化与城乡结构、区域贸易与经济合作、</w:t>
      </w:r>
      <w:r>
        <w:rPr>
          <w:rFonts w:hint="eastAsia" w:ascii="Times New Roman" w:eastAsia="宋体"/>
          <w:lang w:val="en-US" w:eastAsia="zh-CN"/>
        </w:rPr>
        <w:t>区域发展战略与生产力布局、</w:t>
      </w:r>
      <w:r>
        <w:rPr>
          <w:rFonts w:hint="eastAsia"/>
          <w:lang w:val="en-US" w:eastAsia="zh-CN"/>
        </w:rPr>
        <w:t>国际金融、金融风险与监管、金融科技、“一带一路”建设等方面的科研优势，通过</w:t>
      </w:r>
      <w:r>
        <w:rPr>
          <w:rFonts w:hint="eastAsia"/>
          <w:highlight w:val="none"/>
          <w:lang w:val="en-US" w:eastAsia="zh-CN"/>
        </w:rPr>
        <w:t>成果转化、课题合作、决策咨询</w:t>
      </w:r>
      <w:r>
        <w:rPr>
          <w:rFonts w:hint="eastAsia"/>
          <w:lang w:val="en-US" w:eastAsia="zh-CN"/>
        </w:rPr>
        <w:t>等多种形式服务社会</w:t>
      </w:r>
      <w:r>
        <w:rPr>
          <w:rFonts w:hint="default"/>
          <w:lang w:eastAsia="zh-CN"/>
        </w:rPr>
        <w:t>，</w:t>
      </w:r>
      <w:r>
        <w:rPr>
          <w:rFonts w:hint="eastAsia"/>
          <w:lang w:val="en-US" w:eastAsia="zh-CN"/>
        </w:rPr>
        <w:t>为地区经济社会发展及地方政府治理提供智力支持</w:t>
      </w:r>
      <w:r>
        <w:rPr>
          <w:rFonts w:hint="eastAsia"/>
        </w:rPr>
        <w:t>。</w:t>
      </w:r>
      <w:r>
        <w:rPr>
          <w:rFonts w:hint="eastAsia"/>
          <w:b w:val="0"/>
          <w:bCs w:val="0"/>
          <w:lang w:val="en-US" w:eastAsia="zh-CN"/>
        </w:rPr>
        <w:t>一是多位教师在国内</w:t>
      </w:r>
      <w:r>
        <w:rPr>
          <w:rFonts w:hint="eastAsia"/>
          <w:b w:val="0"/>
          <w:bCs w:val="0"/>
          <w:lang w:val="en-US" w:eastAsia="zh-Hans"/>
        </w:rPr>
        <w:t>重要</w:t>
      </w:r>
      <w:r>
        <w:rPr>
          <w:rFonts w:hint="eastAsia"/>
          <w:b w:val="0"/>
          <w:bCs w:val="0"/>
          <w:lang w:val="en-US" w:eastAsia="zh-CN"/>
        </w:rPr>
        <w:t>学术组织任职</w:t>
      </w:r>
      <w:r>
        <w:rPr>
          <w:rFonts w:hint="eastAsia"/>
          <w:lang w:val="en-US" w:eastAsia="zh-CN"/>
        </w:rPr>
        <w:t>。包括但不限于广东省区域与产业创新研究会会长、广东经济学会副会长、中国国际贸易促进委员会广州市委员会法律委员会常务委员、广东省社会医学研究会会长、广东民商法学会常务副会长、广东金融学会理事、广东保险学会学术委员会顾问、广东省注册税务师协会常务理事、广东经济学会理事</w:t>
      </w:r>
      <w:r>
        <w:rPr>
          <w:rFonts w:hint="eastAsia"/>
        </w:rPr>
        <w:t>、广东统计学会常务理事</w:t>
      </w:r>
      <w:r>
        <w:rPr>
          <w:rFonts w:hint="eastAsia"/>
          <w:lang w:val="en-US" w:eastAsia="zh-CN"/>
        </w:rPr>
        <w:t>等。</w:t>
      </w:r>
      <w:r>
        <w:rPr>
          <w:rFonts w:hint="eastAsia"/>
          <w:b w:val="0"/>
          <w:bCs w:val="0"/>
          <w:lang w:val="en-US" w:eastAsia="zh-CN"/>
        </w:rPr>
        <w:t>二是</w:t>
      </w:r>
      <w:r>
        <w:rPr>
          <w:rFonts w:hint="eastAsia"/>
          <w:color w:val="auto"/>
          <w:lang w:val="en-US" w:eastAsia="zh-Hans"/>
        </w:rPr>
        <w:t>重视</w:t>
      </w:r>
      <w:r>
        <w:rPr>
          <w:rFonts w:hint="eastAsia"/>
          <w:color w:val="auto"/>
          <w:lang w:val="en-US" w:eastAsia="zh-CN"/>
        </w:rPr>
        <w:t>对外学术</w:t>
      </w:r>
      <w:r>
        <w:rPr>
          <w:rFonts w:hint="eastAsia"/>
          <w:color w:val="auto"/>
          <w:lang w:val="en-US" w:eastAsia="zh-Hans"/>
        </w:rPr>
        <w:t>交流</w:t>
      </w:r>
      <w:r>
        <w:rPr>
          <w:rFonts w:hint="default"/>
          <w:color w:val="auto"/>
          <w:lang w:eastAsia="zh-Hans"/>
        </w:rPr>
        <w:t>，</w:t>
      </w:r>
      <w:r>
        <w:rPr>
          <w:rFonts w:hint="eastAsia"/>
          <w:lang w:val="en-US" w:eastAsia="zh-CN"/>
        </w:rPr>
        <w:t>持续加</w:t>
      </w:r>
      <w:r>
        <w:rPr>
          <w:rFonts w:hint="eastAsia"/>
          <w:highlight w:val="none"/>
          <w:lang w:val="en-US" w:eastAsia="zh-CN"/>
        </w:rPr>
        <w:t>强决策咨询服务广度和深度。</w:t>
      </w:r>
      <w:r>
        <w:rPr>
          <w:rFonts w:hint="default"/>
          <w:color w:val="auto"/>
          <w:lang w:eastAsia="zh-CN"/>
        </w:rPr>
        <w:t>2023</w:t>
      </w:r>
      <w:r>
        <w:rPr>
          <w:rFonts w:hint="eastAsia"/>
          <w:color w:val="auto"/>
          <w:lang w:val="en-US" w:eastAsia="zh-Hans"/>
        </w:rPr>
        <w:t>年学位点</w:t>
      </w:r>
      <w:r>
        <w:rPr>
          <w:rFonts w:hint="eastAsia"/>
          <w:color w:val="auto"/>
          <w:lang w:val="en-US" w:eastAsia="zh-CN"/>
        </w:rPr>
        <w:t>导师</w:t>
      </w:r>
      <w:r>
        <w:rPr>
          <w:rFonts w:hint="eastAsia"/>
          <w:color w:val="auto"/>
          <w:lang w:val="en-US" w:eastAsia="zh-Hans"/>
        </w:rPr>
        <w:t>积极参加</w:t>
      </w:r>
      <w:r>
        <w:rPr>
          <w:rFonts w:hint="eastAsia"/>
          <w:lang w:val="en-US" w:eastAsia="zh-CN"/>
        </w:rPr>
        <w:t>“</w:t>
      </w:r>
      <w:r>
        <w:rPr>
          <w:rFonts w:hint="default"/>
          <w:lang w:val="en-US" w:eastAsia="zh-CN"/>
        </w:rPr>
        <w:t>第十五届中国—东盟智库战略对话论坛</w:t>
      </w:r>
      <w:r>
        <w:rPr>
          <w:rFonts w:hint="eastAsia"/>
          <w:lang w:val="en-US" w:eastAsia="zh-CN"/>
        </w:rPr>
        <w:t>”“‘数字经济时代的创新与中韩供应链合作’中韩产业论坛”“第四届粤港澳合作发展论坛”“第五届中国自贸智库论坛”“第十二届南方智库论坛”“2023年岭南学术论坛”以及“2023 年生态文明贵阳国际论坛”“生态文明天府论坛·建设人与自然和谐共生的美丽中国学术研讨会”“第十二届《粤澳合作框架协议》与澳门特区法律问题前瞻学术研讨会”“2023年首届“梵净山论坛·绿色铜仁现代化学术交流会”</w:t>
      </w:r>
      <w:r>
        <w:rPr>
          <w:rFonts w:hint="default"/>
          <w:lang w:eastAsia="zh-CN"/>
        </w:rPr>
        <w:t>，</w:t>
      </w:r>
      <w:r>
        <w:rPr>
          <w:rFonts w:hint="eastAsia"/>
          <w:lang w:val="en-US" w:eastAsia="zh-Hans"/>
        </w:rPr>
        <w:t>以论坛交流提升科研服务社会效能</w:t>
      </w:r>
      <w:r>
        <w:rPr>
          <w:rFonts w:hint="default"/>
          <w:lang w:eastAsia="zh-Hans"/>
        </w:rPr>
        <w:t>。</w:t>
      </w:r>
      <w:r>
        <w:rPr>
          <w:rFonts w:hint="eastAsia"/>
          <w:lang w:val="en-US" w:eastAsia="zh-Hans"/>
        </w:rPr>
        <w:t>同时</w:t>
      </w:r>
      <w:r>
        <w:rPr>
          <w:rFonts w:hint="eastAsia"/>
          <w:lang w:val="en-US" w:eastAsia="zh-CN"/>
        </w:rPr>
        <w:t>，积极承担</w:t>
      </w:r>
      <w:r>
        <w:rPr>
          <w:rFonts w:hint="eastAsia"/>
          <w:lang w:val="en-US" w:eastAsia="zh-Hans"/>
        </w:rPr>
        <w:t>相关部门如</w:t>
      </w:r>
      <w:r>
        <w:rPr>
          <w:rFonts w:hint="eastAsia"/>
          <w:lang w:val="en-US" w:eastAsia="zh-CN"/>
        </w:rPr>
        <w:t>文化和旅游部国际交流与合作局（港澳台办公室）、海口国家高新技术产业开发区管理委员会、广东省农业农村厅、广东省文化和旅游厅、广东省财政科学研究所、中国建设银行广东省分行以及省内各地市政府</w:t>
      </w:r>
      <w:r>
        <w:rPr>
          <w:rFonts w:hint="eastAsia"/>
          <w:highlight w:val="none"/>
          <w:lang w:val="en-US" w:eastAsia="zh-CN"/>
        </w:rPr>
        <w:t>等</w:t>
      </w:r>
      <w:r>
        <w:rPr>
          <w:rFonts w:hint="eastAsia"/>
          <w:lang w:val="en-US" w:eastAsia="zh-CN"/>
        </w:rPr>
        <w:t>11项委托项目，精准及时有效提供前瞻性、预警性、操作性强的决策咨询</w:t>
      </w:r>
      <w:r>
        <w:rPr>
          <w:rFonts w:hint="eastAsia"/>
          <w:lang w:val="en-US" w:eastAsia="zh-Hans"/>
        </w:rPr>
        <w:t>社会</w:t>
      </w:r>
      <w:r>
        <w:rPr>
          <w:rFonts w:hint="eastAsia"/>
          <w:lang w:val="en-US" w:eastAsia="zh-CN"/>
        </w:rPr>
        <w:t>服务，多份研究成果被采纳。</w:t>
      </w:r>
    </w:p>
    <w:p>
      <w:pPr>
        <w:pStyle w:val="4"/>
        <w:keepNext w:val="0"/>
        <w:keepLines w:val="0"/>
        <w:widowControl w:val="0"/>
        <w:ind w:firstLine="602" w:firstLineChars="200"/>
        <w:rPr>
          <w:rFonts w:hint="eastAsia"/>
        </w:rPr>
      </w:pPr>
      <w:bookmarkStart w:id="54" w:name="_Toc26285"/>
      <w:bookmarkStart w:id="55" w:name="_Toc2474"/>
      <w:bookmarkStart w:id="56" w:name="_Toc101036327"/>
      <w:bookmarkStart w:id="57" w:name="_Toc12615"/>
      <w:r>
        <w:rPr>
          <w:rFonts w:hint="eastAsia"/>
        </w:rPr>
        <w:t>（二）研究生培养</w:t>
      </w:r>
      <w:bookmarkEnd w:id="54"/>
      <w:bookmarkEnd w:id="55"/>
      <w:bookmarkEnd w:id="56"/>
      <w:bookmarkEnd w:id="57"/>
    </w:p>
    <w:p>
      <w:pPr>
        <w:ind w:firstLine="480"/>
        <w:rPr>
          <w:rFonts w:hint="eastAsia"/>
        </w:rPr>
      </w:pPr>
      <w:r>
        <w:rPr>
          <w:rFonts w:hint="eastAsia"/>
        </w:rPr>
        <w:t>研究生培养依照我院“四位一体”学术训练体系，从课程设置、课题参与、社会调研和学术交流四个方面全面提升研究生理论研究和应用决策研究能力。同时，辅之以奖学金奖励，</w:t>
      </w:r>
      <w:r>
        <w:rPr>
          <w:rFonts w:hint="eastAsia"/>
          <w:lang w:val="en-US" w:eastAsia="zh-Hans"/>
        </w:rPr>
        <w:t>夯实研究生培养基础</w:t>
      </w:r>
      <w:r>
        <w:rPr>
          <w:rFonts w:hint="eastAsia"/>
        </w:rPr>
        <w:t>。</w:t>
      </w:r>
    </w:p>
    <w:p>
      <w:pPr>
        <w:pStyle w:val="5"/>
        <w:keepNext w:val="0"/>
        <w:keepLines w:val="0"/>
        <w:widowControl w:val="0"/>
        <w:ind w:firstLine="560" w:firstLineChars="200"/>
        <w:rPr>
          <w:rFonts w:hint="eastAsia"/>
        </w:rPr>
      </w:pPr>
      <w:bookmarkStart w:id="58" w:name="_Toc4266"/>
      <w:r>
        <w:rPr>
          <w:rFonts w:hint="eastAsia"/>
        </w:rPr>
        <w:t>1.课程设置和满意度评价</w:t>
      </w:r>
      <w:bookmarkEnd w:id="58"/>
    </w:p>
    <w:p>
      <w:pPr>
        <w:ind w:firstLine="480"/>
        <w:outlineLvl w:val="3"/>
        <w:rPr>
          <w:rFonts w:hint="default" w:eastAsia="宋体"/>
          <w:b/>
          <w:bCs/>
          <w:lang w:val="en-US" w:eastAsia="zh-CN"/>
        </w:rPr>
      </w:pPr>
      <w:r>
        <w:rPr>
          <w:rFonts w:hint="eastAsia"/>
          <w:b/>
          <w:bCs/>
          <w:lang w:eastAsia="zh-CN"/>
        </w:rPr>
        <w:t>（</w:t>
      </w:r>
      <w:r>
        <w:rPr>
          <w:rFonts w:hint="eastAsia"/>
          <w:b/>
          <w:bCs/>
          <w:lang w:val="en-US" w:eastAsia="zh-CN"/>
        </w:rPr>
        <w:t>1</w:t>
      </w:r>
      <w:r>
        <w:rPr>
          <w:rFonts w:hint="eastAsia"/>
          <w:b/>
          <w:bCs/>
          <w:lang w:eastAsia="zh-CN"/>
        </w:rPr>
        <w:t>）</w:t>
      </w:r>
      <w:r>
        <w:rPr>
          <w:rFonts w:hint="eastAsia"/>
          <w:b/>
          <w:bCs/>
          <w:lang w:val="en-US" w:eastAsia="zh-CN"/>
        </w:rPr>
        <w:t>课程设置情况</w:t>
      </w:r>
    </w:p>
    <w:p>
      <w:pPr>
        <w:spacing w:after="157" w:afterLines="50"/>
        <w:ind w:firstLine="480"/>
        <w:rPr>
          <w:rFonts w:hint="eastAsia"/>
        </w:rPr>
      </w:pPr>
      <w:r>
        <w:rPr>
          <w:rFonts w:hint="eastAsia"/>
          <w:lang w:val="en-US" w:eastAsia="zh-CN"/>
        </w:rPr>
        <w:t>学位点根植于研究生</w:t>
      </w:r>
      <w:r>
        <w:rPr>
          <w:rFonts w:hint="eastAsia"/>
        </w:rPr>
        <w:t>培养目标，通过构建以公共基础课为基础、以专业必修课为核心、以选修课为辅助的整体课程建设方案（见表</w:t>
      </w:r>
      <w:r>
        <w:rPr>
          <w:rFonts w:hint="eastAsia"/>
          <w:lang w:val="en-US" w:eastAsia="zh-CN"/>
        </w:rPr>
        <w:t>3</w:t>
      </w:r>
      <w:r>
        <w:rPr>
          <w:rFonts w:hint="eastAsia"/>
        </w:rPr>
        <w:t>），确保全方位、多层次提升本学位点研究生的思想政治水平、理论研究水平</w:t>
      </w:r>
      <w:r>
        <w:rPr>
          <w:rFonts w:hint="eastAsia"/>
          <w:lang w:eastAsia="zh-CN"/>
        </w:rPr>
        <w:t>、</w:t>
      </w:r>
      <w:r>
        <w:rPr>
          <w:rFonts w:hint="eastAsia"/>
          <w:lang w:val="en-US" w:eastAsia="zh-CN"/>
        </w:rPr>
        <w:t>科研创新水平</w:t>
      </w:r>
      <w:r>
        <w:rPr>
          <w:rFonts w:hint="eastAsia"/>
        </w:rPr>
        <w:t>和实践应用水平。</w:t>
      </w:r>
      <w:r>
        <w:rPr>
          <w:rFonts w:hint="eastAsia"/>
          <w:lang w:val="en-US" w:eastAsia="zh-CN"/>
        </w:rPr>
        <w:t>2023年，学位点重新修订《应用经济学研究生培养方案》，</w:t>
      </w:r>
      <w:r>
        <w:rPr>
          <w:rFonts w:hint="eastAsia"/>
          <w:highlight w:val="none"/>
          <w:lang w:val="en-US" w:eastAsia="zh-CN"/>
        </w:rPr>
        <w:t>结合相关学科教学</w:t>
      </w:r>
      <w:r>
        <w:rPr>
          <w:rFonts w:hint="eastAsia"/>
          <w:highlight w:val="none"/>
          <w:lang w:val="en-US" w:eastAsia="zh-Hans"/>
        </w:rPr>
        <w:t>新要求</w:t>
      </w:r>
      <w:r>
        <w:rPr>
          <w:rFonts w:hint="eastAsia"/>
          <w:highlight w:val="none"/>
          <w:lang w:val="en-US" w:eastAsia="zh-CN"/>
        </w:rPr>
        <w:t>和科研新进展，兼顾社科院培养特色，</w:t>
      </w:r>
      <w:r>
        <w:rPr>
          <w:rFonts w:hint="eastAsia"/>
          <w:lang w:val="en-US" w:eastAsia="zh-CN"/>
        </w:rPr>
        <w:t>增加学科前沿课程《区域经济前沿专题研究》和《</w:t>
      </w:r>
      <w:r>
        <w:rPr>
          <w:rFonts w:hint="eastAsia" w:ascii="Times New Roman" w:hAnsi="Times New Roman" w:eastAsia="宋体"/>
          <w:szCs w:val="22"/>
        </w:rPr>
        <w:t>决策咨询报告写作指导</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after="157" w:afterLines="50"/>
        <w:ind w:left="0" w:leftChars="0" w:firstLine="0" w:firstLineChars="0"/>
        <w:jc w:val="center"/>
        <w:textAlignment w:val="auto"/>
        <w:outlineLvl w:val="9"/>
        <w:rPr>
          <w:b/>
          <w:bCs/>
        </w:rPr>
      </w:pPr>
      <w:r>
        <w:rPr>
          <w:b/>
          <w:bCs/>
        </w:rPr>
        <w:t>表</w:t>
      </w:r>
      <w:r>
        <w:rPr>
          <w:rFonts w:hint="eastAsia"/>
          <w:b/>
          <w:bCs/>
          <w:lang w:val="en-US" w:eastAsia="zh-CN"/>
        </w:rPr>
        <w:t>3</w:t>
      </w:r>
      <w:r>
        <w:rPr>
          <w:b/>
          <w:bCs/>
        </w:rPr>
        <w:t xml:space="preserve"> </w:t>
      </w:r>
      <w:r>
        <w:rPr>
          <w:rFonts w:hint="eastAsia"/>
          <w:b/>
          <w:bCs/>
          <w:lang w:val="en-US" w:eastAsia="zh-CN"/>
        </w:rPr>
        <w:t xml:space="preserve"> </w:t>
      </w:r>
      <w:r>
        <w:rPr>
          <w:b/>
          <w:bCs/>
        </w:rPr>
        <w:t>课程设置</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413"/>
        <w:gridCol w:w="4856"/>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89"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课程类别</w:t>
            </w:r>
          </w:p>
        </w:tc>
        <w:tc>
          <w:tcPr>
            <w:tcW w:w="1413"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专业</w:t>
            </w:r>
          </w:p>
        </w:tc>
        <w:tc>
          <w:tcPr>
            <w:tcW w:w="4856"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课程名称</w:t>
            </w:r>
          </w:p>
        </w:tc>
        <w:tc>
          <w:tcPr>
            <w:tcW w:w="864"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restart"/>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专业必修课</w:t>
            </w:r>
          </w:p>
        </w:tc>
        <w:tc>
          <w:tcPr>
            <w:tcW w:w="1413" w:type="dxa"/>
            <w:vMerge w:val="restart"/>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所有专业</w:t>
            </w:r>
          </w:p>
        </w:tc>
        <w:tc>
          <w:tcPr>
            <w:tcW w:w="4856"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新时代中国特色社会主义理论与实践</w:t>
            </w:r>
          </w:p>
        </w:tc>
        <w:tc>
          <w:tcPr>
            <w:tcW w:w="864"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4</w:t>
            </w:r>
            <w:r>
              <w:rPr>
                <w:rFonts w:hint="default" w:ascii="Times New Roman" w:hAnsi="Times New Roman" w:cs="Times New Roman" w:eastAsiaTheme="minor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4856"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中国马克思主义与当代</w:t>
            </w:r>
          </w:p>
        </w:tc>
        <w:tc>
          <w:tcPr>
            <w:tcW w:w="864"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4856"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研究生</w:t>
            </w:r>
            <w:r>
              <w:rPr>
                <w:rFonts w:hint="eastAsia" w:asciiTheme="minorEastAsia" w:hAnsiTheme="minorEastAsia" w:eastAsiaTheme="minorEastAsia" w:cstheme="minorEastAsia"/>
                <w:sz w:val="24"/>
                <w:szCs w:val="24"/>
                <w:lang w:val="en-US" w:eastAsia="zh-CN"/>
              </w:rPr>
              <w:t>专业</w:t>
            </w:r>
            <w:r>
              <w:rPr>
                <w:rFonts w:hint="eastAsia" w:asciiTheme="minorEastAsia" w:hAnsiTheme="minorEastAsia" w:eastAsiaTheme="minorEastAsia" w:cstheme="minorEastAsia"/>
                <w:sz w:val="24"/>
                <w:szCs w:val="24"/>
              </w:rPr>
              <w:t>英语</w:t>
            </w:r>
          </w:p>
        </w:tc>
        <w:tc>
          <w:tcPr>
            <w:tcW w:w="864"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8</w:t>
            </w:r>
            <w:r>
              <w:rPr>
                <w:rFonts w:hint="default" w:ascii="Times New Roman" w:hAnsi="Times New Roman" w:cs="Times New Roman" w:eastAsiaTheme="minor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4856"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高</w:t>
            </w:r>
            <w:r>
              <w:rPr>
                <w:rFonts w:hint="eastAsia" w:asciiTheme="minorEastAsia" w:hAnsiTheme="minorEastAsia" w:eastAsiaTheme="minorEastAsia" w:cstheme="minorEastAsia"/>
                <w:sz w:val="24"/>
                <w:szCs w:val="24"/>
              </w:rPr>
              <w:t>级宏观经济学</w:t>
            </w:r>
          </w:p>
        </w:tc>
        <w:tc>
          <w:tcPr>
            <w:tcW w:w="864"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4856"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高</w:t>
            </w:r>
            <w:r>
              <w:rPr>
                <w:rFonts w:hint="eastAsia" w:asciiTheme="minorEastAsia" w:hAnsiTheme="minorEastAsia" w:eastAsiaTheme="minorEastAsia" w:cstheme="minorEastAsia"/>
                <w:sz w:val="24"/>
                <w:szCs w:val="24"/>
              </w:rPr>
              <w:t>级微观经济学</w:t>
            </w:r>
          </w:p>
        </w:tc>
        <w:tc>
          <w:tcPr>
            <w:tcW w:w="864"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4856"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高</w:t>
            </w:r>
            <w:r>
              <w:rPr>
                <w:rFonts w:hint="eastAsia" w:asciiTheme="minorEastAsia" w:hAnsiTheme="minorEastAsia" w:eastAsiaTheme="minorEastAsia" w:cstheme="minorEastAsia"/>
                <w:sz w:val="24"/>
                <w:szCs w:val="24"/>
              </w:rPr>
              <w:t>级计量经济学</w:t>
            </w:r>
          </w:p>
        </w:tc>
        <w:tc>
          <w:tcPr>
            <w:tcW w:w="864"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4</w:t>
            </w:r>
            <w:r>
              <w:rPr>
                <w:rFonts w:hint="default" w:ascii="Times New Roman" w:hAnsi="Times New Roman" w:cs="Times New Roman" w:eastAsiaTheme="minor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4856"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论文写作与指导</w:t>
            </w:r>
          </w:p>
        </w:tc>
        <w:tc>
          <w:tcPr>
            <w:tcW w:w="864"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restart"/>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产业经济学</w:t>
            </w:r>
          </w:p>
        </w:tc>
        <w:tc>
          <w:tcPr>
            <w:tcW w:w="4856"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产业经济学</w:t>
            </w:r>
          </w:p>
        </w:tc>
        <w:tc>
          <w:tcPr>
            <w:tcW w:w="864"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4856"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产业政策研究</w:t>
            </w:r>
          </w:p>
        </w:tc>
        <w:tc>
          <w:tcPr>
            <w:tcW w:w="864"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4</w:t>
            </w:r>
            <w:r>
              <w:rPr>
                <w:rFonts w:hint="default" w:ascii="Times New Roman" w:hAnsi="Times New Roman" w:cs="Times New Roman" w:eastAsiaTheme="minor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4856"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研究方法论</w:t>
            </w:r>
          </w:p>
        </w:tc>
        <w:tc>
          <w:tcPr>
            <w:tcW w:w="864"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4856"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计量经济学专题及应用</w:t>
            </w:r>
          </w:p>
        </w:tc>
        <w:tc>
          <w:tcPr>
            <w:tcW w:w="864"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restart"/>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区域经济学</w:t>
            </w:r>
          </w:p>
        </w:tc>
        <w:tc>
          <w:tcPr>
            <w:tcW w:w="4856"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区域经济学</w:t>
            </w:r>
          </w:p>
        </w:tc>
        <w:tc>
          <w:tcPr>
            <w:tcW w:w="864"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4856"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区域分析理论与实践</w:t>
            </w:r>
          </w:p>
        </w:tc>
        <w:tc>
          <w:tcPr>
            <w:tcW w:w="864"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4856"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区域创新发展专题</w:t>
            </w:r>
          </w:p>
        </w:tc>
        <w:tc>
          <w:tcPr>
            <w:tcW w:w="864"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restart"/>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金融学</w:t>
            </w:r>
          </w:p>
        </w:tc>
        <w:tc>
          <w:tcPr>
            <w:tcW w:w="4856"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货币银行学</w:t>
            </w:r>
          </w:p>
        </w:tc>
        <w:tc>
          <w:tcPr>
            <w:tcW w:w="864"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4856"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国际金融</w:t>
            </w:r>
          </w:p>
        </w:tc>
        <w:tc>
          <w:tcPr>
            <w:tcW w:w="864"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4856"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投资银行学</w:t>
            </w:r>
          </w:p>
        </w:tc>
        <w:tc>
          <w:tcPr>
            <w:tcW w:w="864"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restart"/>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国际贸易学</w:t>
            </w:r>
          </w:p>
        </w:tc>
        <w:tc>
          <w:tcPr>
            <w:tcW w:w="4856"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国际经济专题</w:t>
            </w:r>
          </w:p>
        </w:tc>
        <w:tc>
          <w:tcPr>
            <w:tcW w:w="864"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4856"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国际贸易</w:t>
            </w:r>
          </w:p>
        </w:tc>
        <w:tc>
          <w:tcPr>
            <w:tcW w:w="864" w:type="dxa"/>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restart"/>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选修课</w:t>
            </w:r>
          </w:p>
        </w:tc>
        <w:tc>
          <w:tcPr>
            <w:tcW w:w="1413" w:type="dxa"/>
            <w:vMerge w:val="restart"/>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所有专业</w:t>
            </w:r>
          </w:p>
        </w:tc>
        <w:tc>
          <w:tcPr>
            <w:tcW w:w="4856" w:type="dxa"/>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Cs w:val="21"/>
              </w:rPr>
              <w:t>创新经济学</w:t>
            </w:r>
          </w:p>
        </w:tc>
        <w:tc>
          <w:tcPr>
            <w:tcW w:w="864" w:type="dxa"/>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240" w:firstLineChars="1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4856" w:type="dxa"/>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Cs w:val="21"/>
              </w:rPr>
              <w:t>旅游业高质量发展研究</w:t>
            </w:r>
          </w:p>
        </w:tc>
        <w:tc>
          <w:tcPr>
            <w:tcW w:w="864" w:type="dxa"/>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240" w:firstLineChars="1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4856" w:type="dxa"/>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Cs w:val="21"/>
              </w:rPr>
              <w:t>旅游经济学</w:t>
            </w:r>
          </w:p>
        </w:tc>
        <w:tc>
          <w:tcPr>
            <w:tcW w:w="864" w:type="dxa"/>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240" w:firstLineChars="1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4856" w:type="dxa"/>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Cs w:val="21"/>
              </w:rPr>
              <w:t>科技政策与管理</w:t>
            </w:r>
          </w:p>
        </w:tc>
        <w:tc>
          <w:tcPr>
            <w:tcW w:w="864" w:type="dxa"/>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240" w:firstLineChars="1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4856" w:type="dxa"/>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Cs w:val="21"/>
              </w:rPr>
              <w:t>创新发展经济学</w:t>
            </w:r>
          </w:p>
        </w:tc>
        <w:tc>
          <w:tcPr>
            <w:tcW w:w="864" w:type="dxa"/>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240" w:firstLineChars="1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4856" w:type="dxa"/>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Cs w:val="21"/>
              </w:rPr>
              <w:t>区域经济前沿专题研究</w:t>
            </w:r>
          </w:p>
        </w:tc>
        <w:tc>
          <w:tcPr>
            <w:tcW w:w="864" w:type="dxa"/>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240" w:firstLineChars="1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1413" w:type="dxa"/>
            <w:vMerge w:val="continue"/>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tc>
        <w:tc>
          <w:tcPr>
            <w:tcW w:w="4856" w:type="dxa"/>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Cs w:val="21"/>
              </w:rPr>
              <w:t>决策咨询报告写作指导</w:t>
            </w:r>
          </w:p>
        </w:tc>
        <w:tc>
          <w:tcPr>
            <w:tcW w:w="864" w:type="dxa"/>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240" w:firstLineChars="1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restart"/>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Cs w:val="21"/>
              </w:rPr>
              <w:t>必修环节</w:t>
            </w:r>
          </w:p>
        </w:tc>
        <w:tc>
          <w:tcPr>
            <w:tcW w:w="1413" w:type="dxa"/>
            <w:vMerge w:val="restart"/>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Cs w:val="21"/>
                <w:lang w:val="en-US" w:eastAsia="zh-CN"/>
              </w:rPr>
              <w:t>所有专业</w:t>
            </w:r>
          </w:p>
        </w:tc>
        <w:tc>
          <w:tcPr>
            <w:tcW w:w="4856" w:type="dxa"/>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科学道德与学术诚信</w:t>
            </w:r>
          </w:p>
        </w:tc>
        <w:tc>
          <w:tcPr>
            <w:tcW w:w="864" w:type="dxa"/>
            <w:vMerge w:val="restart"/>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Cs w:val="21"/>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szCs w:val="21"/>
              </w:rPr>
            </w:pPr>
          </w:p>
        </w:tc>
        <w:tc>
          <w:tcPr>
            <w:tcW w:w="1413" w:type="dxa"/>
            <w:vMerge w:val="continue"/>
            <w:noWrap w:val="0"/>
            <w:vAlign w:val="top"/>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szCs w:val="21"/>
                <w:lang w:val="en-US"/>
              </w:rPr>
            </w:pPr>
          </w:p>
        </w:tc>
        <w:tc>
          <w:tcPr>
            <w:tcW w:w="4856" w:type="dxa"/>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社会实践（实习）</w:t>
            </w:r>
          </w:p>
        </w:tc>
        <w:tc>
          <w:tcPr>
            <w:tcW w:w="864" w:type="dxa"/>
            <w:vMerge w:val="continue"/>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480" w:firstLineChars="200"/>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szCs w:val="21"/>
              </w:rPr>
            </w:pPr>
          </w:p>
        </w:tc>
        <w:tc>
          <w:tcPr>
            <w:tcW w:w="1413" w:type="dxa"/>
            <w:vMerge w:val="continue"/>
            <w:noWrap w:val="0"/>
            <w:vAlign w:val="top"/>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szCs w:val="21"/>
                <w:lang w:val="en-US"/>
              </w:rPr>
            </w:pPr>
          </w:p>
        </w:tc>
        <w:tc>
          <w:tcPr>
            <w:tcW w:w="4856" w:type="dxa"/>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中期考核</w:t>
            </w:r>
          </w:p>
        </w:tc>
        <w:tc>
          <w:tcPr>
            <w:tcW w:w="864" w:type="dxa"/>
            <w:vMerge w:val="continue"/>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480" w:firstLineChars="200"/>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szCs w:val="21"/>
              </w:rPr>
            </w:pPr>
          </w:p>
        </w:tc>
        <w:tc>
          <w:tcPr>
            <w:tcW w:w="1413" w:type="dxa"/>
            <w:vMerge w:val="continue"/>
            <w:noWrap w:val="0"/>
            <w:vAlign w:val="top"/>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szCs w:val="21"/>
                <w:lang w:val="en-US"/>
              </w:rPr>
            </w:pPr>
          </w:p>
        </w:tc>
        <w:tc>
          <w:tcPr>
            <w:tcW w:w="4856" w:type="dxa"/>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文献阅读与综述</w:t>
            </w:r>
          </w:p>
        </w:tc>
        <w:tc>
          <w:tcPr>
            <w:tcW w:w="864" w:type="dxa"/>
            <w:vMerge w:val="continue"/>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480" w:firstLineChars="200"/>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Merge w:val="continue"/>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szCs w:val="21"/>
              </w:rPr>
            </w:pPr>
          </w:p>
        </w:tc>
        <w:tc>
          <w:tcPr>
            <w:tcW w:w="1413" w:type="dxa"/>
            <w:vMerge w:val="continue"/>
            <w:noWrap w:val="0"/>
            <w:vAlign w:val="top"/>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szCs w:val="21"/>
                <w:lang w:val="en-US"/>
              </w:rPr>
            </w:pPr>
          </w:p>
        </w:tc>
        <w:tc>
          <w:tcPr>
            <w:tcW w:w="4856" w:type="dxa"/>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学术活动</w:t>
            </w:r>
          </w:p>
        </w:tc>
        <w:tc>
          <w:tcPr>
            <w:tcW w:w="864" w:type="dxa"/>
            <w:vMerge w:val="continue"/>
            <w:noWrap w:val="0"/>
            <w:vAlign w:val="center"/>
          </w:tcPr>
          <w:p>
            <w:pPr>
              <w:keepNext w:val="0"/>
              <w:keepLines w:val="0"/>
              <w:pageBreakBefore w:val="0"/>
              <w:widowControl w:val="0"/>
              <w:tabs>
                <w:tab w:val="left" w:pos="2145"/>
              </w:tabs>
              <w:kinsoku/>
              <w:wordWrap/>
              <w:overflowPunct/>
              <w:topLinePunct w:val="0"/>
              <w:autoSpaceDE/>
              <w:autoSpaceDN/>
              <w:bidi w:val="0"/>
              <w:adjustRightInd/>
              <w:snapToGrid/>
              <w:spacing w:line="240" w:lineRule="auto"/>
              <w:ind w:firstLine="480" w:firstLineChars="200"/>
              <w:jc w:val="center"/>
              <w:textAlignment w:val="auto"/>
              <w:rPr>
                <w:rFonts w:hint="eastAsia" w:asciiTheme="minorEastAsia" w:hAnsiTheme="minorEastAsia" w:eastAsiaTheme="minorEastAsia" w:cstheme="minorEastAsia"/>
                <w:szCs w:val="21"/>
              </w:rPr>
            </w:pPr>
          </w:p>
        </w:tc>
      </w:tr>
    </w:tbl>
    <w:p>
      <w:pPr>
        <w:keepNext w:val="0"/>
        <w:keepLines w:val="0"/>
        <w:pageBreakBefore w:val="0"/>
        <w:widowControl w:val="0"/>
        <w:kinsoku/>
        <w:wordWrap/>
        <w:overflowPunct/>
        <w:topLinePunct w:val="0"/>
        <w:autoSpaceDE/>
        <w:autoSpaceDN/>
        <w:bidi w:val="0"/>
        <w:adjustRightInd/>
        <w:snapToGrid/>
        <w:spacing w:before="95" w:beforeLines="30" w:after="157" w:afterLines="50"/>
        <w:ind w:firstLine="480"/>
        <w:textAlignment w:val="auto"/>
        <w:rPr>
          <w:rFonts w:eastAsia="仿宋"/>
          <w:szCs w:val="24"/>
        </w:rPr>
      </w:pPr>
      <w:r>
        <w:rPr>
          <w:rFonts w:hint="eastAsia" w:eastAsia="仿宋"/>
          <w:szCs w:val="24"/>
        </w:rPr>
        <w:t>注：某一学科方向的专业必修课是其他学科方向的选修课。</w:t>
      </w:r>
    </w:p>
    <w:p>
      <w:pPr>
        <w:keepNext w:val="0"/>
        <w:keepLines w:val="0"/>
        <w:pageBreakBefore w:val="0"/>
        <w:widowControl w:val="0"/>
        <w:kinsoku/>
        <w:wordWrap/>
        <w:overflowPunct/>
        <w:topLinePunct w:val="0"/>
        <w:autoSpaceDE/>
        <w:autoSpaceDN/>
        <w:bidi w:val="0"/>
        <w:adjustRightInd/>
        <w:snapToGrid/>
        <w:spacing w:line="336" w:lineRule="auto"/>
        <w:ind w:firstLine="480"/>
        <w:textAlignment w:val="auto"/>
        <w:rPr>
          <w:rFonts w:hint="eastAsia"/>
        </w:rPr>
      </w:pPr>
      <w:r>
        <w:rPr>
          <w:rFonts w:hint="eastAsia"/>
        </w:rPr>
        <w:t>按照《广东省社会科学院研究生管理规定（暂行）》的规定要求，</w:t>
      </w:r>
      <w:r>
        <w:rPr>
          <w:rFonts w:hint="eastAsia"/>
          <w:lang w:val="en-US" w:eastAsia="zh-Hans"/>
        </w:rPr>
        <w:t>本学位点</w:t>
      </w:r>
      <w:r>
        <w:rPr>
          <w:rFonts w:hint="eastAsia"/>
        </w:rPr>
        <w:t>实行学分制，要求至少修满32个学分，其中学位课不少于22学分，非学位课不少于8学分</w:t>
      </w:r>
      <w:r>
        <w:rPr>
          <w:rFonts w:hint="eastAsia"/>
          <w:lang w:eastAsia="zh-CN"/>
        </w:rPr>
        <w:t>，必修环节6学分。</w:t>
      </w:r>
    </w:p>
    <w:p>
      <w:pPr>
        <w:keepNext w:val="0"/>
        <w:keepLines w:val="0"/>
        <w:pageBreakBefore w:val="0"/>
        <w:widowControl w:val="0"/>
        <w:kinsoku/>
        <w:wordWrap/>
        <w:overflowPunct/>
        <w:topLinePunct w:val="0"/>
        <w:autoSpaceDE/>
        <w:autoSpaceDN/>
        <w:bidi w:val="0"/>
        <w:adjustRightInd/>
        <w:snapToGrid/>
        <w:spacing w:line="336" w:lineRule="auto"/>
        <w:ind w:firstLine="480"/>
        <w:textAlignment w:val="auto"/>
        <w:outlineLvl w:val="3"/>
        <w:rPr>
          <w:rFonts w:hint="default" w:eastAsia="宋体"/>
          <w:b/>
          <w:bCs/>
          <w:lang w:val="en-US" w:eastAsia="zh-CN"/>
        </w:rPr>
      </w:pPr>
      <w:r>
        <w:rPr>
          <w:rFonts w:hint="eastAsia"/>
          <w:b/>
          <w:bCs/>
          <w:lang w:eastAsia="zh-CN"/>
        </w:rPr>
        <w:t>（</w:t>
      </w:r>
      <w:r>
        <w:rPr>
          <w:rFonts w:hint="eastAsia"/>
          <w:b/>
          <w:bCs/>
          <w:lang w:val="en-US" w:eastAsia="zh-CN"/>
        </w:rPr>
        <w:t>2</w:t>
      </w:r>
      <w:r>
        <w:rPr>
          <w:rFonts w:hint="eastAsia"/>
          <w:b/>
          <w:bCs/>
          <w:lang w:eastAsia="zh-CN"/>
        </w:rPr>
        <w:t>）</w:t>
      </w:r>
      <w:r>
        <w:rPr>
          <w:rFonts w:hint="eastAsia"/>
          <w:b/>
          <w:bCs/>
          <w:lang w:val="en-US" w:eastAsia="zh-CN"/>
        </w:rPr>
        <w:t>课程满意度评价</w:t>
      </w:r>
    </w:p>
    <w:p>
      <w:pPr>
        <w:keepNext w:val="0"/>
        <w:keepLines w:val="0"/>
        <w:pageBreakBefore w:val="0"/>
        <w:widowControl w:val="0"/>
        <w:kinsoku/>
        <w:wordWrap/>
        <w:overflowPunct/>
        <w:topLinePunct w:val="0"/>
        <w:autoSpaceDE/>
        <w:autoSpaceDN/>
        <w:bidi w:val="0"/>
        <w:adjustRightInd/>
        <w:snapToGrid/>
        <w:spacing w:line="336" w:lineRule="auto"/>
        <w:ind w:firstLine="480"/>
        <w:textAlignment w:val="auto"/>
        <w:rPr>
          <w:rFonts w:hint="default"/>
          <w:color w:val="FF0000"/>
          <w:lang w:val="en-US"/>
        </w:rPr>
      </w:pPr>
      <w:r>
        <w:rPr>
          <w:rFonts w:hint="eastAsia"/>
          <w:lang w:val="en-US" w:eastAsia="zh-CN"/>
        </w:rPr>
        <w:t>我院通过上课情况测评、学生问卷调查等方式</w:t>
      </w:r>
      <w:r>
        <w:rPr>
          <w:rFonts w:hint="eastAsia"/>
          <w:lang w:val="en-US" w:eastAsia="zh-Hans"/>
        </w:rPr>
        <w:t>常态化开展研究生课程教学评估工作。</w:t>
      </w:r>
      <w:r>
        <w:rPr>
          <w:rFonts w:hint="default"/>
          <w:highlight w:val="none"/>
          <w:lang w:eastAsia="zh-Hans"/>
        </w:rPr>
        <w:t>2023</w:t>
      </w:r>
      <w:r>
        <w:rPr>
          <w:rFonts w:hint="eastAsia"/>
          <w:highlight w:val="none"/>
          <w:lang w:val="en-US" w:eastAsia="zh-Hans"/>
        </w:rPr>
        <w:t>年度</w:t>
      </w:r>
      <w:r>
        <w:rPr>
          <w:rFonts w:hint="eastAsia"/>
        </w:rPr>
        <w:t>教学测评结果显示，本</w:t>
      </w:r>
      <w:r>
        <w:rPr>
          <w:rFonts w:hint="eastAsia"/>
          <w:lang w:val="en-US" w:eastAsia="zh-CN"/>
        </w:rPr>
        <w:t>学位点</w:t>
      </w:r>
      <w:r>
        <w:rPr>
          <w:rFonts w:hint="eastAsia"/>
        </w:rPr>
        <w:t>授课老师在教学态度、教学内容、教学方法、教学效果等方面，都达到优良以上等级，</w:t>
      </w:r>
      <w:r>
        <w:rPr>
          <w:rFonts w:hint="eastAsia"/>
          <w:highlight w:val="none"/>
          <w:lang w:val="en-US" w:eastAsia="zh-Hans"/>
        </w:rPr>
        <w:t>课程</w:t>
      </w:r>
      <w:r>
        <w:rPr>
          <w:rFonts w:hint="eastAsia"/>
        </w:rPr>
        <w:t>满意度较高。202</w:t>
      </w:r>
      <w:r>
        <w:rPr>
          <w:rFonts w:hint="eastAsia"/>
          <w:lang w:val="en-US" w:eastAsia="zh-CN"/>
        </w:rPr>
        <w:t>3</w:t>
      </w:r>
      <w:r>
        <w:rPr>
          <w:rFonts w:hint="eastAsia"/>
        </w:rPr>
        <w:t>年所有课程教学测评平均值高</w:t>
      </w:r>
      <w:r>
        <w:rPr>
          <w:rFonts w:hint="eastAsia"/>
          <w:color w:val="auto"/>
        </w:rPr>
        <w:t>达9</w:t>
      </w:r>
      <w:r>
        <w:rPr>
          <w:rFonts w:hint="eastAsia"/>
          <w:color w:val="auto"/>
          <w:lang w:val="en-US" w:eastAsia="zh-CN"/>
        </w:rPr>
        <w:t>7.16</w:t>
      </w:r>
      <w:r>
        <w:rPr>
          <w:rFonts w:hint="eastAsia"/>
          <w:color w:val="auto"/>
        </w:rPr>
        <w:t>，专业必修课的满意度为9</w:t>
      </w:r>
      <w:r>
        <w:rPr>
          <w:rFonts w:hint="eastAsia"/>
          <w:color w:val="auto"/>
          <w:lang w:val="en-US" w:eastAsia="zh-CN"/>
        </w:rPr>
        <w:t>6.81</w:t>
      </w:r>
      <w:r>
        <w:rPr>
          <w:rFonts w:hint="eastAsia"/>
          <w:color w:val="auto"/>
        </w:rPr>
        <w:t>，专业选修课的满意度为9</w:t>
      </w:r>
      <w:r>
        <w:rPr>
          <w:rFonts w:hint="eastAsia"/>
          <w:color w:val="auto"/>
          <w:lang w:val="en-US" w:eastAsia="zh-CN"/>
        </w:rPr>
        <w:t>8.57。</w:t>
      </w:r>
    </w:p>
    <w:p>
      <w:pPr>
        <w:keepNext w:val="0"/>
        <w:keepLines w:val="0"/>
        <w:pageBreakBefore w:val="0"/>
        <w:widowControl w:val="0"/>
        <w:kinsoku/>
        <w:wordWrap/>
        <w:overflowPunct/>
        <w:topLinePunct w:val="0"/>
        <w:autoSpaceDE/>
        <w:autoSpaceDN/>
        <w:bidi w:val="0"/>
        <w:adjustRightInd/>
        <w:snapToGrid/>
        <w:spacing w:after="32" w:afterLines="10"/>
        <w:ind w:left="0" w:leftChars="0" w:firstLine="0" w:firstLineChars="0"/>
        <w:jc w:val="center"/>
        <w:textAlignment w:val="auto"/>
        <w:outlineLvl w:val="9"/>
        <w:rPr>
          <w:rFonts w:hint="eastAsia"/>
          <w:b/>
          <w:bCs/>
        </w:rPr>
      </w:pPr>
      <w:r>
        <w:rPr>
          <w:rFonts w:hint="eastAsia"/>
          <w:b/>
          <w:bCs/>
        </w:rPr>
        <w:t>表</w:t>
      </w:r>
      <w:r>
        <w:rPr>
          <w:rFonts w:hint="eastAsia"/>
          <w:b/>
          <w:bCs/>
          <w:lang w:val="en-US" w:eastAsia="zh-CN"/>
        </w:rPr>
        <w:t>4</w:t>
      </w:r>
      <w:r>
        <w:rPr>
          <w:rFonts w:hint="eastAsia"/>
          <w:b/>
          <w:bCs/>
        </w:rPr>
        <w:t xml:space="preserve">  202</w:t>
      </w:r>
      <w:r>
        <w:rPr>
          <w:rFonts w:hint="eastAsia"/>
          <w:b/>
          <w:bCs/>
          <w:lang w:val="en-US" w:eastAsia="zh-CN"/>
        </w:rPr>
        <w:t>3</w:t>
      </w:r>
      <w:r>
        <w:rPr>
          <w:rFonts w:hint="eastAsia"/>
          <w:b/>
          <w:bCs/>
        </w:rPr>
        <w:t>年春、秋季教学测评情况</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780"/>
        <w:gridCol w:w="918"/>
        <w:gridCol w:w="873"/>
        <w:gridCol w:w="856"/>
        <w:gridCol w:w="891"/>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Align w:val="center"/>
          </w:tcPr>
          <w:p>
            <w:pPr>
              <w:pStyle w:val="28"/>
              <w:keepNext w:val="0"/>
              <w:keepLines w:val="0"/>
              <w:pageBreakBefore w:val="0"/>
              <w:widowControl w:val="0"/>
              <w:kinsoku/>
              <w:wordWrap/>
              <w:overflowPunct w:val="0"/>
              <w:topLinePunct w:val="0"/>
              <w:autoSpaceDE/>
              <w:autoSpaceDN/>
              <w:bidi w:val="0"/>
              <w:adjustRightInd w:val="0"/>
              <w:snapToGrid w:val="0"/>
              <w:spacing w:line="240" w:lineRule="auto"/>
              <w:textAlignment w:val="auto"/>
              <w:rPr>
                <w:rFonts w:hint="eastAsia"/>
                <w:b/>
                <w:bCs/>
                <w:vertAlign w:val="baseline"/>
              </w:rPr>
            </w:pPr>
            <w:r>
              <w:rPr>
                <w:rFonts w:hint="eastAsia" w:asciiTheme="minorEastAsia" w:hAnsiTheme="minorEastAsia" w:eastAsiaTheme="minorEastAsia" w:cstheme="minorEastAsia"/>
                <w:b/>
                <w:bCs/>
                <w:sz w:val="24"/>
                <w:szCs w:val="24"/>
              </w:rPr>
              <w:t>课程类型</w:t>
            </w:r>
          </w:p>
        </w:tc>
        <w:tc>
          <w:tcPr>
            <w:tcW w:w="2780" w:type="dxa"/>
            <w:vAlign w:val="center"/>
          </w:tcPr>
          <w:p>
            <w:pPr>
              <w:pStyle w:val="28"/>
              <w:keepNext w:val="0"/>
              <w:keepLines w:val="0"/>
              <w:pageBreakBefore w:val="0"/>
              <w:widowControl w:val="0"/>
              <w:kinsoku/>
              <w:wordWrap/>
              <w:overflowPunct w:val="0"/>
              <w:topLinePunct w:val="0"/>
              <w:autoSpaceDE/>
              <w:autoSpaceDN/>
              <w:bidi w:val="0"/>
              <w:adjustRightInd w:val="0"/>
              <w:snapToGrid w:val="0"/>
              <w:spacing w:line="240" w:lineRule="auto"/>
              <w:textAlignment w:val="auto"/>
              <w:rPr>
                <w:rFonts w:hint="eastAsia"/>
                <w:b/>
                <w:bCs/>
                <w:vertAlign w:val="baseline"/>
              </w:rPr>
            </w:pPr>
            <w:r>
              <w:rPr>
                <w:rFonts w:hint="eastAsia" w:asciiTheme="minorEastAsia" w:hAnsiTheme="minorEastAsia" w:eastAsiaTheme="minorEastAsia" w:cstheme="minorEastAsia"/>
                <w:b/>
                <w:bCs/>
                <w:sz w:val="24"/>
                <w:szCs w:val="24"/>
              </w:rPr>
              <w:t>课程名称</w:t>
            </w:r>
          </w:p>
        </w:tc>
        <w:tc>
          <w:tcPr>
            <w:tcW w:w="918" w:type="dxa"/>
            <w:vAlign w:val="center"/>
          </w:tcPr>
          <w:p>
            <w:pPr>
              <w:pStyle w:val="28"/>
              <w:keepNext w:val="0"/>
              <w:keepLines w:val="0"/>
              <w:pageBreakBefore w:val="0"/>
              <w:widowControl w:val="0"/>
              <w:kinsoku/>
              <w:wordWrap/>
              <w:overflowPunct w:val="0"/>
              <w:topLinePunct w:val="0"/>
              <w:autoSpaceDE/>
              <w:autoSpaceDN/>
              <w:bidi w:val="0"/>
              <w:adjustRightInd w:val="0"/>
              <w:snapToGrid w:val="0"/>
              <w:spacing w:line="240" w:lineRule="auto"/>
              <w:textAlignment w:val="auto"/>
              <w:rPr>
                <w:rFonts w:hint="eastAsia"/>
                <w:b/>
                <w:bCs/>
                <w:vertAlign w:val="baseline"/>
              </w:rPr>
            </w:pPr>
            <w:r>
              <w:rPr>
                <w:rFonts w:hint="eastAsia" w:asciiTheme="minorEastAsia" w:hAnsiTheme="minorEastAsia" w:eastAsiaTheme="minorEastAsia" w:cstheme="minorEastAsia"/>
                <w:b/>
                <w:bCs/>
                <w:sz w:val="24"/>
                <w:szCs w:val="24"/>
              </w:rPr>
              <w:t>教学态度</w:t>
            </w:r>
          </w:p>
        </w:tc>
        <w:tc>
          <w:tcPr>
            <w:tcW w:w="873" w:type="dxa"/>
            <w:vAlign w:val="center"/>
          </w:tcPr>
          <w:p>
            <w:pPr>
              <w:pStyle w:val="28"/>
              <w:keepNext w:val="0"/>
              <w:keepLines w:val="0"/>
              <w:pageBreakBefore w:val="0"/>
              <w:widowControl w:val="0"/>
              <w:kinsoku/>
              <w:wordWrap/>
              <w:overflowPunct w:val="0"/>
              <w:topLinePunct w:val="0"/>
              <w:autoSpaceDE/>
              <w:autoSpaceDN/>
              <w:bidi w:val="0"/>
              <w:adjustRightInd w:val="0"/>
              <w:snapToGrid w:val="0"/>
              <w:spacing w:line="240" w:lineRule="auto"/>
              <w:textAlignment w:val="auto"/>
              <w:rPr>
                <w:rFonts w:hint="eastAsia"/>
                <w:b/>
                <w:bCs/>
                <w:vertAlign w:val="baseline"/>
              </w:rPr>
            </w:pPr>
            <w:r>
              <w:rPr>
                <w:rFonts w:hint="eastAsia" w:asciiTheme="minorEastAsia" w:hAnsiTheme="minorEastAsia" w:eastAsiaTheme="minorEastAsia" w:cstheme="minorEastAsia"/>
                <w:b/>
                <w:bCs/>
                <w:sz w:val="24"/>
                <w:szCs w:val="24"/>
              </w:rPr>
              <w:t>教学内容</w:t>
            </w:r>
          </w:p>
        </w:tc>
        <w:tc>
          <w:tcPr>
            <w:tcW w:w="856" w:type="dxa"/>
            <w:vAlign w:val="center"/>
          </w:tcPr>
          <w:p>
            <w:pPr>
              <w:pStyle w:val="28"/>
              <w:keepNext w:val="0"/>
              <w:keepLines w:val="0"/>
              <w:pageBreakBefore w:val="0"/>
              <w:widowControl w:val="0"/>
              <w:kinsoku/>
              <w:wordWrap/>
              <w:overflowPunct w:val="0"/>
              <w:topLinePunct w:val="0"/>
              <w:autoSpaceDE/>
              <w:autoSpaceDN/>
              <w:bidi w:val="0"/>
              <w:adjustRightInd w:val="0"/>
              <w:snapToGrid w:val="0"/>
              <w:spacing w:line="240" w:lineRule="auto"/>
              <w:textAlignment w:val="auto"/>
              <w:rPr>
                <w:rFonts w:hint="eastAsia"/>
                <w:b/>
                <w:bCs/>
                <w:vertAlign w:val="baseline"/>
              </w:rPr>
            </w:pPr>
            <w:r>
              <w:rPr>
                <w:rFonts w:hint="eastAsia" w:asciiTheme="minorEastAsia" w:hAnsiTheme="minorEastAsia" w:eastAsiaTheme="minorEastAsia" w:cstheme="minorEastAsia"/>
                <w:b/>
                <w:bCs/>
                <w:sz w:val="24"/>
                <w:szCs w:val="24"/>
              </w:rPr>
              <w:t>教学方法</w:t>
            </w:r>
          </w:p>
        </w:tc>
        <w:tc>
          <w:tcPr>
            <w:tcW w:w="891" w:type="dxa"/>
            <w:vAlign w:val="center"/>
          </w:tcPr>
          <w:p>
            <w:pPr>
              <w:pStyle w:val="28"/>
              <w:keepNext w:val="0"/>
              <w:keepLines w:val="0"/>
              <w:pageBreakBefore w:val="0"/>
              <w:widowControl w:val="0"/>
              <w:kinsoku/>
              <w:wordWrap/>
              <w:overflowPunct w:val="0"/>
              <w:topLinePunct w:val="0"/>
              <w:autoSpaceDE/>
              <w:autoSpaceDN/>
              <w:bidi w:val="0"/>
              <w:adjustRightInd w:val="0"/>
              <w:snapToGrid w:val="0"/>
              <w:spacing w:line="240" w:lineRule="auto"/>
              <w:textAlignment w:val="auto"/>
              <w:rPr>
                <w:rFonts w:hint="eastAsia"/>
                <w:b/>
                <w:bCs/>
                <w:vertAlign w:val="baseline"/>
              </w:rPr>
            </w:pPr>
            <w:r>
              <w:rPr>
                <w:rFonts w:hint="eastAsia" w:asciiTheme="minorEastAsia" w:hAnsiTheme="minorEastAsia" w:eastAsiaTheme="minorEastAsia" w:cstheme="minorEastAsia"/>
                <w:b/>
                <w:bCs/>
                <w:sz w:val="24"/>
                <w:szCs w:val="24"/>
              </w:rPr>
              <w:t>教学效果</w:t>
            </w:r>
          </w:p>
        </w:tc>
        <w:tc>
          <w:tcPr>
            <w:tcW w:w="1050" w:type="dxa"/>
            <w:vAlign w:val="center"/>
          </w:tcPr>
          <w:p>
            <w:pPr>
              <w:pStyle w:val="28"/>
              <w:keepNext w:val="0"/>
              <w:keepLines w:val="0"/>
              <w:pageBreakBefore w:val="0"/>
              <w:widowControl w:val="0"/>
              <w:kinsoku/>
              <w:wordWrap/>
              <w:overflowPunct w:val="0"/>
              <w:topLinePunct w:val="0"/>
              <w:autoSpaceDE/>
              <w:autoSpaceDN/>
              <w:bidi w:val="0"/>
              <w:adjustRightInd w:val="0"/>
              <w:snapToGrid w:val="0"/>
              <w:spacing w:line="240" w:lineRule="auto"/>
              <w:textAlignment w:val="auto"/>
              <w:rPr>
                <w:rFonts w:hint="eastAsia"/>
                <w:b/>
                <w:bCs/>
                <w:vertAlign w:val="baseline"/>
              </w:rPr>
            </w:pPr>
            <w:r>
              <w:rPr>
                <w:rFonts w:hint="eastAsia" w:asciiTheme="minorEastAsia" w:hAnsiTheme="minorEastAsia" w:eastAsiaTheme="minorEastAsia" w:cstheme="minorEastAsia"/>
                <w:b/>
                <w:bCs/>
                <w:sz w:val="24"/>
                <w:szCs w:val="24"/>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Merge w:val="restart"/>
            <w:vAlign w:val="center"/>
          </w:tcPr>
          <w:p>
            <w:pPr>
              <w:pStyle w:val="28"/>
              <w:keepNext w:val="0"/>
              <w:keepLines w:val="0"/>
              <w:pageBreakBefore w:val="0"/>
              <w:widowControl w:val="0"/>
              <w:kinsoku/>
              <w:wordWrap/>
              <w:overflowPunct w:val="0"/>
              <w:topLinePunct w:val="0"/>
              <w:autoSpaceDE/>
              <w:autoSpaceDN/>
              <w:bidi w:val="0"/>
              <w:adjustRightInd w:val="0"/>
              <w:snapToGrid w:val="0"/>
              <w:spacing w:line="240" w:lineRule="auto"/>
              <w:ind w:left="113" w:leftChars="0" w:right="113" w:right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专</w:t>
            </w:r>
          </w:p>
          <w:p>
            <w:pPr>
              <w:pStyle w:val="28"/>
              <w:keepNext w:val="0"/>
              <w:keepLines w:val="0"/>
              <w:pageBreakBefore w:val="0"/>
              <w:widowControl w:val="0"/>
              <w:kinsoku/>
              <w:wordWrap/>
              <w:overflowPunct w:val="0"/>
              <w:topLinePunct w:val="0"/>
              <w:autoSpaceDE/>
              <w:autoSpaceDN/>
              <w:bidi w:val="0"/>
              <w:adjustRightInd w:val="0"/>
              <w:snapToGrid w:val="0"/>
              <w:spacing w:line="240" w:lineRule="auto"/>
              <w:ind w:left="113" w:leftChars="0" w:right="113" w:right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业</w:t>
            </w:r>
          </w:p>
          <w:p>
            <w:pPr>
              <w:pStyle w:val="28"/>
              <w:keepNext w:val="0"/>
              <w:keepLines w:val="0"/>
              <w:pageBreakBefore w:val="0"/>
              <w:widowControl w:val="0"/>
              <w:kinsoku/>
              <w:wordWrap/>
              <w:overflowPunct w:val="0"/>
              <w:topLinePunct w:val="0"/>
              <w:autoSpaceDE/>
              <w:autoSpaceDN/>
              <w:bidi w:val="0"/>
              <w:adjustRightInd w:val="0"/>
              <w:snapToGrid w:val="0"/>
              <w:spacing w:line="240" w:lineRule="auto"/>
              <w:ind w:left="113" w:leftChars="0" w:right="113" w:right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必</w:t>
            </w:r>
          </w:p>
          <w:p>
            <w:pPr>
              <w:pStyle w:val="28"/>
              <w:keepNext w:val="0"/>
              <w:keepLines w:val="0"/>
              <w:pageBreakBefore w:val="0"/>
              <w:widowControl w:val="0"/>
              <w:kinsoku/>
              <w:wordWrap/>
              <w:overflowPunct w:val="0"/>
              <w:topLinePunct w:val="0"/>
              <w:autoSpaceDE/>
              <w:autoSpaceDN/>
              <w:bidi w:val="0"/>
              <w:adjustRightInd w:val="0"/>
              <w:snapToGrid w:val="0"/>
              <w:spacing w:line="240" w:lineRule="auto"/>
              <w:ind w:left="113" w:leftChars="0" w:right="113" w:right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vertAlign w:val="baseline"/>
              </w:rPr>
            </w:pPr>
            <w:r>
              <w:rPr>
                <w:rFonts w:hint="eastAsia" w:asciiTheme="minorEastAsia" w:hAnsiTheme="minorEastAsia" w:eastAsiaTheme="minorEastAsia" w:cstheme="minorEastAsia"/>
                <w:b w:val="0"/>
                <w:bCs w:val="0"/>
                <w:sz w:val="24"/>
                <w:szCs w:val="24"/>
              </w:rPr>
              <w:t>课</w:t>
            </w:r>
          </w:p>
        </w:tc>
        <w:tc>
          <w:tcPr>
            <w:tcW w:w="2780"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eastAsia"/>
                <w:vertAlign w:val="baseline"/>
              </w:rPr>
            </w:pPr>
            <w:r>
              <w:rPr>
                <w:rFonts w:hint="eastAsia" w:asciiTheme="minorEastAsia" w:hAnsiTheme="minorEastAsia" w:eastAsiaTheme="minorEastAsia" w:cstheme="minorEastAsia"/>
                <w:b w:val="0"/>
                <w:bCs w:val="0"/>
                <w:sz w:val="24"/>
                <w:szCs w:val="24"/>
                <w:highlight w:val="none"/>
              </w:rPr>
              <w:t>研究方法论</w:t>
            </w:r>
          </w:p>
        </w:tc>
        <w:tc>
          <w:tcPr>
            <w:tcW w:w="918"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96.67</w:t>
            </w:r>
          </w:p>
        </w:tc>
        <w:tc>
          <w:tcPr>
            <w:tcW w:w="873"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96.67</w:t>
            </w:r>
          </w:p>
        </w:tc>
        <w:tc>
          <w:tcPr>
            <w:tcW w:w="856"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98.33</w:t>
            </w:r>
          </w:p>
        </w:tc>
        <w:tc>
          <w:tcPr>
            <w:tcW w:w="891"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96.67</w:t>
            </w:r>
          </w:p>
        </w:tc>
        <w:tc>
          <w:tcPr>
            <w:tcW w:w="105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vertAlign w:val="baseline"/>
                <w:lang w:val="en-US" w:eastAsia="zh-CN"/>
              </w:rPr>
            </w:pPr>
            <w:r>
              <w:rPr>
                <w:rFonts w:hint="default" w:ascii="Times New Roman" w:hAnsi="Times New Roman" w:cs="Times New Roman" w:eastAsiaTheme="minorEastAsia"/>
                <w:szCs w:val="24"/>
                <w:vertAlign w:val="baseline"/>
                <w:lang w:val="en-US" w:eastAsia="zh-CN"/>
              </w:rPr>
              <w:t>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vertAlign w:val="baseline"/>
              </w:rPr>
            </w:pPr>
          </w:p>
        </w:tc>
        <w:tc>
          <w:tcPr>
            <w:tcW w:w="2780"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eastAsia"/>
                <w:vertAlign w:val="baseline"/>
              </w:rPr>
            </w:pPr>
            <w:r>
              <w:rPr>
                <w:rFonts w:hint="eastAsia" w:asciiTheme="minorEastAsia" w:hAnsiTheme="minorEastAsia" w:eastAsiaTheme="minorEastAsia" w:cstheme="minorEastAsia"/>
                <w:b w:val="0"/>
                <w:bCs w:val="0"/>
                <w:sz w:val="24"/>
                <w:szCs w:val="24"/>
                <w:highlight w:val="none"/>
              </w:rPr>
              <w:t>货币银行学</w:t>
            </w:r>
          </w:p>
        </w:tc>
        <w:tc>
          <w:tcPr>
            <w:tcW w:w="918"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100</w:t>
            </w:r>
          </w:p>
        </w:tc>
        <w:tc>
          <w:tcPr>
            <w:tcW w:w="873"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100</w:t>
            </w:r>
          </w:p>
        </w:tc>
        <w:tc>
          <w:tcPr>
            <w:tcW w:w="856"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100</w:t>
            </w:r>
          </w:p>
        </w:tc>
        <w:tc>
          <w:tcPr>
            <w:tcW w:w="891"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100</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vertAlign w:val="baseline"/>
              </w:rPr>
            </w:pPr>
          </w:p>
        </w:tc>
        <w:tc>
          <w:tcPr>
            <w:tcW w:w="2780"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eastAsia"/>
                <w:vertAlign w:val="baseline"/>
              </w:rPr>
            </w:pPr>
            <w:r>
              <w:rPr>
                <w:rFonts w:hint="eastAsia" w:asciiTheme="minorEastAsia" w:hAnsiTheme="minorEastAsia" w:eastAsiaTheme="minorEastAsia" w:cstheme="minorEastAsia"/>
                <w:b w:val="0"/>
                <w:bCs w:val="0"/>
                <w:sz w:val="24"/>
                <w:szCs w:val="24"/>
                <w:highlight w:val="none"/>
              </w:rPr>
              <w:t>区域经济学</w:t>
            </w:r>
          </w:p>
        </w:tc>
        <w:tc>
          <w:tcPr>
            <w:tcW w:w="918"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100</w:t>
            </w:r>
          </w:p>
        </w:tc>
        <w:tc>
          <w:tcPr>
            <w:tcW w:w="873"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97.5</w:t>
            </w:r>
          </w:p>
        </w:tc>
        <w:tc>
          <w:tcPr>
            <w:tcW w:w="856"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97.5</w:t>
            </w:r>
          </w:p>
        </w:tc>
        <w:tc>
          <w:tcPr>
            <w:tcW w:w="891"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97.5</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vertAlign w:val="baseline"/>
              </w:rPr>
            </w:pPr>
          </w:p>
        </w:tc>
        <w:tc>
          <w:tcPr>
            <w:tcW w:w="2780"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eastAsia"/>
                <w:vertAlign w:val="baseline"/>
              </w:rPr>
            </w:pPr>
            <w:r>
              <w:rPr>
                <w:rFonts w:hint="eastAsia" w:asciiTheme="minorEastAsia" w:hAnsiTheme="minorEastAsia" w:eastAsiaTheme="minorEastAsia" w:cstheme="minorEastAsia"/>
                <w:b w:val="0"/>
                <w:bCs w:val="0"/>
                <w:sz w:val="24"/>
                <w:szCs w:val="24"/>
                <w:highlight w:val="none"/>
              </w:rPr>
              <w:t>国际经济学</w:t>
            </w:r>
          </w:p>
        </w:tc>
        <w:tc>
          <w:tcPr>
            <w:tcW w:w="918"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100</w:t>
            </w:r>
          </w:p>
        </w:tc>
        <w:tc>
          <w:tcPr>
            <w:tcW w:w="873"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100</w:t>
            </w:r>
          </w:p>
        </w:tc>
        <w:tc>
          <w:tcPr>
            <w:tcW w:w="856"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100</w:t>
            </w:r>
          </w:p>
        </w:tc>
        <w:tc>
          <w:tcPr>
            <w:tcW w:w="891"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100</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vertAlign w:val="baseline"/>
              </w:rPr>
            </w:pPr>
          </w:p>
        </w:tc>
        <w:tc>
          <w:tcPr>
            <w:tcW w:w="2780"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eastAsia"/>
                <w:vertAlign w:val="baseline"/>
              </w:rPr>
            </w:pPr>
            <w:r>
              <w:rPr>
                <w:rFonts w:hint="eastAsia" w:asciiTheme="minorEastAsia" w:hAnsiTheme="minorEastAsia" w:eastAsiaTheme="minorEastAsia" w:cstheme="minorEastAsia"/>
                <w:b w:val="0"/>
                <w:bCs w:val="0"/>
                <w:sz w:val="24"/>
                <w:szCs w:val="24"/>
                <w:highlight w:val="none"/>
              </w:rPr>
              <w:t>中国马克思主义与当代</w:t>
            </w:r>
          </w:p>
        </w:tc>
        <w:tc>
          <w:tcPr>
            <w:tcW w:w="918"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szCs w:val="24"/>
              </w:rPr>
              <w:t>91.54</w:t>
            </w:r>
          </w:p>
        </w:tc>
        <w:tc>
          <w:tcPr>
            <w:tcW w:w="873"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szCs w:val="24"/>
              </w:rPr>
              <w:t>89.60</w:t>
            </w:r>
          </w:p>
        </w:tc>
        <w:tc>
          <w:tcPr>
            <w:tcW w:w="856"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szCs w:val="24"/>
              </w:rPr>
              <w:t>88.00</w:t>
            </w:r>
          </w:p>
        </w:tc>
        <w:tc>
          <w:tcPr>
            <w:tcW w:w="891"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szCs w:val="24"/>
              </w:rPr>
              <w:t>87.20</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vertAlign w:val="baseline"/>
              </w:rPr>
            </w:pPr>
          </w:p>
        </w:tc>
        <w:tc>
          <w:tcPr>
            <w:tcW w:w="2780"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eastAsia"/>
                <w:vertAlign w:val="baseline"/>
              </w:rPr>
            </w:pPr>
            <w:r>
              <w:rPr>
                <w:rFonts w:hint="eastAsia" w:asciiTheme="minorEastAsia" w:hAnsiTheme="minorEastAsia" w:eastAsiaTheme="minorEastAsia" w:cstheme="minorEastAsia"/>
                <w:b w:val="0"/>
                <w:bCs w:val="0"/>
                <w:sz w:val="24"/>
                <w:szCs w:val="24"/>
                <w:highlight w:val="none"/>
              </w:rPr>
              <w:t>论文写作指导</w:t>
            </w:r>
          </w:p>
        </w:tc>
        <w:tc>
          <w:tcPr>
            <w:tcW w:w="918"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97.67</w:t>
            </w:r>
          </w:p>
        </w:tc>
        <w:tc>
          <w:tcPr>
            <w:tcW w:w="873"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96.33</w:t>
            </w:r>
          </w:p>
        </w:tc>
        <w:tc>
          <w:tcPr>
            <w:tcW w:w="856"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95</w:t>
            </w:r>
          </w:p>
        </w:tc>
        <w:tc>
          <w:tcPr>
            <w:tcW w:w="891"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94</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vertAlign w:val="baseline"/>
              </w:rPr>
            </w:pPr>
          </w:p>
        </w:tc>
        <w:tc>
          <w:tcPr>
            <w:tcW w:w="2780"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eastAsia"/>
                <w:vertAlign w:val="baseline"/>
              </w:rPr>
            </w:pPr>
            <w:r>
              <w:rPr>
                <w:rFonts w:hint="eastAsia" w:asciiTheme="minorEastAsia" w:hAnsiTheme="minorEastAsia" w:eastAsiaTheme="minorEastAsia" w:cstheme="minorEastAsia"/>
                <w:b w:val="0"/>
                <w:bCs w:val="0"/>
                <w:sz w:val="24"/>
                <w:szCs w:val="24"/>
                <w:highlight w:val="none"/>
              </w:rPr>
              <w:t>计量经济学</w:t>
            </w:r>
          </w:p>
        </w:tc>
        <w:tc>
          <w:tcPr>
            <w:tcW w:w="918"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98.67</w:t>
            </w:r>
          </w:p>
        </w:tc>
        <w:tc>
          <w:tcPr>
            <w:tcW w:w="873"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96.67</w:t>
            </w:r>
          </w:p>
        </w:tc>
        <w:tc>
          <w:tcPr>
            <w:tcW w:w="856"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96.67</w:t>
            </w:r>
          </w:p>
        </w:tc>
        <w:tc>
          <w:tcPr>
            <w:tcW w:w="891"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95.33</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vertAlign w:val="baseline"/>
              </w:rPr>
            </w:pPr>
          </w:p>
        </w:tc>
        <w:tc>
          <w:tcPr>
            <w:tcW w:w="2780"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eastAsia"/>
                <w:vertAlign w:val="baseline"/>
              </w:rPr>
            </w:pPr>
            <w:r>
              <w:rPr>
                <w:rFonts w:hint="eastAsia" w:asciiTheme="minorEastAsia" w:hAnsiTheme="minorEastAsia" w:eastAsiaTheme="minorEastAsia" w:cstheme="minorEastAsia"/>
                <w:b w:val="0"/>
                <w:bCs w:val="0"/>
                <w:sz w:val="24"/>
                <w:szCs w:val="24"/>
                <w:highlight w:val="none"/>
              </w:rPr>
              <w:t>新时代中国特色社会主义理论与实践</w:t>
            </w:r>
          </w:p>
        </w:tc>
        <w:tc>
          <w:tcPr>
            <w:tcW w:w="918"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szCs w:val="24"/>
              </w:rPr>
              <w:t xml:space="preserve">94.80 </w:t>
            </w:r>
          </w:p>
        </w:tc>
        <w:tc>
          <w:tcPr>
            <w:tcW w:w="873"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szCs w:val="24"/>
              </w:rPr>
              <w:t xml:space="preserve">96 </w:t>
            </w:r>
          </w:p>
        </w:tc>
        <w:tc>
          <w:tcPr>
            <w:tcW w:w="856"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szCs w:val="24"/>
              </w:rPr>
              <w:t xml:space="preserve">92.80 </w:t>
            </w:r>
          </w:p>
        </w:tc>
        <w:tc>
          <w:tcPr>
            <w:tcW w:w="891"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szCs w:val="24"/>
              </w:rPr>
              <w:t xml:space="preserve">93.20 </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vertAlign w:val="baseline"/>
              </w:rPr>
            </w:pPr>
          </w:p>
        </w:tc>
        <w:tc>
          <w:tcPr>
            <w:tcW w:w="2780"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eastAsia"/>
                <w:vertAlign w:val="baseline"/>
              </w:rPr>
            </w:pPr>
            <w:r>
              <w:rPr>
                <w:rFonts w:hint="eastAsia" w:asciiTheme="minorEastAsia" w:hAnsiTheme="minorEastAsia" w:eastAsiaTheme="minorEastAsia" w:cstheme="minorEastAsia"/>
                <w:b w:val="0"/>
                <w:bCs w:val="0"/>
                <w:sz w:val="24"/>
                <w:szCs w:val="24"/>
                <w:highlight w:val="none"/>
              </w:rPr>
              <w:t>国际贸易</w:t>
            </w:r>
          </w:p>
        </w:tc>
        <w:tc>
          <w:tcPr>
            <w:tcW w:w="918"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98.57</w:t>
            </w:r>
          </w:p>
        </w:tc>
        <w:tc>
          <w:tcPr>
            <w:tcW w:w="873"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97.14</w:t>
            </w:r>
          </w:p>
        </w:tc>
        <w:tc>
          <w:tcPr>
            <w:tcW w:w="856"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98.57</w:t>
            </w:r>
          </w:p>
        </w:tc>
        <w:tc>
          <w:tcPr>
            <w:tcW w:w="891"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97.14</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vertAlign w:val="baseline"/>
              </w:rPr>
            </w:pPr>
          </w:p>
        </w:tc>
        <w:tc>
          <w:tcPr>
            <w:tcW w:w="2780"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eastAsia"/>
                <w:vertAlign w:val="baseline"/>
              </w:rPr>
            </w:pPr>
            <w:r>
              <w:rPr>
                <w:rFonts w:hint="eastAsia" w:asciiTheme="minorEastAsia" w:hAnsiTheme="minorEastAsia" w:eastAsiaTheme="minorEastAsia" w:cstheme="minorEastAsia"/>
                <w:b w:val="0"/>
                <w:bCs w:val="0"/>
                <w:sz w:val="24"/>
                <w:szCs w:val="24"/>
                <w:highlight w:val="none"/>
              </w:rPr>
              <w:t>区域分析理论与实践</w:t>
            </w:r>
          </w:p>
        </w:tc>
        <w:tc>
          <w:tcPr>
            <w:tcW w:w="918"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98.18</w:t>
            </w:r>
          </w:p>
        </w:tc>
        <w:tc>
          <w:tcPr>
            <w:tcW w:w="873"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98.18</w:t>
            </w:r>
          </w:p>
        </w:tc>
        <w:tc>
          <w:tcPr>
            <w:tcW w:w="856"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97.27</w:t>
            </w:r>
          </w:p>
        </w:tc>
        <w:tc>
          <w:tcPr>
            <w:tcW w:w="891"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vertAlign w:val="baseline"/>
              </w:rPr>
            </w:pPr>
            <w:r>
              <w:rPr>
                <w:rFonts w:hint="default" w:ascii="Times New Roman" w:hAnsi="Times New Roman" w:cs="Times New Roman" w:eastAsiaTheme="minorEastAsia"/>
                <w:b w:val="0"/>
                <w:bCs w:val="0"/>
                <w:szCs w:val="24"/>
              </w:rPr>
              <w:t>97.27</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vertAlign w:val="baseline"/>
              </w:rPr>
            </w:pPr>
          </w:p>
        </w:tc>
        <w:tc>
          <w:tcPr>
            <w:tcW w:w="2780"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产业经济学</w:t>
            </w:r>
          </w:p>
        </w:tc>
        <w:tc>
          <w:tcPr>
            <w:tcW w:w="918"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b w:val="0"/>
                <w:bCs w:val="0"/>
                <w:szCs w:val="24"/>
              </w:rPr>
              <w:t>97.14</w:t>
            </w:r>
          </w:p>
        </w:tc>
        <w:tc>
          <w:tcPr>
            <w:tcW w:w="873"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b w:val="0"/>
                <w:bCs w:val="0"/>
                <w:szCs w:val="24"/>
              </w:rPr>
              <w:t>94.29</w:t>
            </w:r>
          </w:p>
        </w:tc>
        <w:tc>
          <w:tcPr>
            <w:tcW w:w="856"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b w:val="0"/>
                <w:bCs w:val="0"/>
                <w:szCs w:val="24"/>
              </w:rPr>
              <w:t>95.71</w:t>
            </w:r>
          </w:p>
        </w:tc>
        <w:tc>
          <w:tcPr>
            <w:tcW w:w="891"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b w:val="0"/>
                <w:bCs w:val="0"/>
                <w:szCs w:val="24"/>
              </w:rPr>
              <w:t>94.29</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vertAlign w:val="baseline"/>
              </w:rPr>
            </w:pPr>
          </w:p>
        </w:tc>
        <w:tc>
          <w:tcPr>
            <w:tcW w:w="2780"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投资银行学</w:t>
            </w:r>
          </w:p>
        </w:tc>
        <w:tc>
          <w:tcPr>
            <w:tcW w:w="918"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b w:val="0"/>
                <w:bCs w:val="0"/>
                <w:szCs w:val="24"/>
              </w:rPr>
              <w:t>100</w:t>
            </w:r>
          </w:p>
        </w:tc>
        <w:tc>
          <w:tcPr>
            <w:tcW w:w="873"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b w:val="0"/>
                <w:bCs w:val="0"/>
                <w:szCs w:val="24"/>
              </w:rPr>
              <w:t>100</w:t>
            </w:r>
          </w:p>
        </w:tc>
        <w:tc>
          <w:tcPr>
            <w:tcW w:w="856"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b w:val="0"/>
                <w:bCs w:val="0"/>
                <w:szCs w:val="24"/>
              </w:rPr>
              <w:t>98.57</w:t>
            </w:r>
          </w:p>
        </w:tc>
        <w:tc>
          <w:tcPr>
            <w:tcW w:w="891"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b w:val="0"/>
                <w:bCs w:val="0"/>
                <w:szCs w:val="24"/>
              </w:rPr>
              <w:t>100</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23" w:type="dxa"/>
            <w:vMerge w:val="restart"/>
            <w:vAlign w:val="center"/>
          </w:tcPr>
          <w:p>
            <w:pPr>
              <w:pStyle w:val="28"/>
              <w:keepNext w:val="0"/>
              <w:keepLines w:val="0"/>
              <w:pageBreakBefore w:val="0"/>
              <w:widowControl w:val="0"/>
              <w:kinsoku/>
              <w:wordWrap/>
              <w:overflowPunct w:val="0"/>
              <w:topLinePunct w:val="0"/>
              <w:autoSpaceDE/>
              <w:autoSpaceDN/>
              <w:bidi w:val="0"/>
              <w:adjustRightInd w:val="0"/>
              <w:snapToGrid w:val="0"/>
              <w:spacing w:line="240" w:lineRule="auto"/>
              <w:ind w:left="113" w:leftChars="0" w:right="113" w:right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专</w:t>
            </w:r>
          </w:p>
          <w:p>
            <w:pPr>
              <w:pStyle w:val="28"/>
              <w:keepNext w:val="0"/>
              <w:keepLines w:val="0"/>
              <w:pageBreakBefore w:val="0"/>
              <w:widowControl w:val="0"/>
              <w:kinsoku/>
              <w:wordWrap/>
              <w:overflowPunct w:val="0"/>
              <w:topLinePunct w:val="0"/>
              <w:autoSpaceDE/>
              <w:autoSpaceDN/>
              <w:bidi w:val="0"/>
              <w:adjustRightInd w:val="0"/>
              <w:snapToGrid w:val="0"/>
              <w:spacing w:line="240" w:lineRule="auto"/>
              <w:ind w:left="113" w:leftChars="0" w:right="113" w:right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业</w:t>
            </w:r>
          </w:p>
          <w:p>
            <w:pPr>
              <w:pStyle w:val="28"/>
              <w:keepNext w:val="0"/>
              <w:keepLines w:val="0"/>
              <w:pageBreakBefore w:val="0"/>
              <w:widowControl w:val="0"/>
              <w:kinsoku/>
              <w:wordWrap/>
              <w:overflowPunct w:val="0"/>
              <w:topLinePunct w:val="0"/>
              <w:autoSpaceDE/>
              <w:autoSpaceDN/>
              <w:bidi w:val="0"/>
              <w:adjustRightInd w:val="0"/>
              <w:snapToGrid w:val="0"/>
              <w:spacing w:line="240" w:lineRule="auto"/>
              <w:ind w:left="113" w:leftChars="0" w:right="113" w:right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选</w:t>
            </w:r>
          </w:p>
          <w:p>
            <w:pPr>
              <w:pStyle w:val="28"/>
              <w:keepNext w:val="0"/>
              <w:keepLines w:val="0"/>
              <w:pageBreakBefore w:val="0"/>
              <w:widowControl w:val="0"/>
              <w:kinsoku/>
              <w:wordWrap/>
              <w:overflowPunct w:val="0"/>
              <w:topLinePunct w:val="0"/>
              <w:autoSpaceDE/>
              <w:autoSpaceDN/>
              <w:bidi w:val="0"/>
              <w:adjustRightInd w:val="0"/>
              <w:snapToGrid w:val="0"/>
              <w:spacing w:line="240" w:lineRule="auto"/>
              <w:ind w:left="113" w:leftChars="0" w:right="113" w:right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vertAlign w:val="baseline"/>
                <w:lang w:val="en-US" w:eastAsia="zh-CN"/>
              </w:rPr>
            </w:pPr>
            <w:r>
              <w:rPr>
                <w:rFonts w:hint="eastAsia" w:asciiTheme="minorEastAsia" w:hAnsiTheme="minorEastAsia" w:eastAsiaTheme="minorEastAsia" w:cstheme="minorEastAsia"/>
                <w:b w:val="0"/>
                <w:bCs w:val="0"/>
                <w:sz w:val="24"/>
                <w:szCs w:val="24"/>
              </w:rPr>
              <w:t>课</w:t>
            </w:r>
          </w:p>
        </w:tc>
        <w:tc>
          <w:tcPr>
            <w:tcW w:w="2780"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创新发展经济学</w:t>
            </w:r>
          </w:p>
        </w:tc>
        <w:tc>
          <w:tcPr>
            <w:tcW w:w="918"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b w:val="0"/>
                <w:bCs w:val="0"/>
                <w:sz w:val="24"/>
                <w:szCs w:val="24"/>
              </w:rPr>
              <w:t>100</w:t>
            </w:r>
          </w:p>
        </w:tc>
        <w:tc>
          <w:tcPr>
            <w:tcW w:w="873"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b w:val="0"/>
                <w:bCs w:val="0"/>
                <w:sz w:val="24"/>
                <w:szCs w:val="24"/>
              </w:rPr>
              <w:t>100</w:t>
            </w:r>
          </w:p>
        </w:tc>
        <w:tc>
          <w:tcPr>
            <w:tcW w:w="856"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b w:val="0"/>
                <w:bCs w:val="0"/>
                <w:sz w:val="24"/>
                <w:szCs w:val="24"/>
              </w:rPr>
              <w:t>100</w:t>
            </w:r>
          </w:p>
        </w:tc>
        <w:tc>
          <w:tcPr>
            <w:tcW w:w="891"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b w:val="0"/>
                <w:bCs w:val="0"/>
                <w:sz w:val="24"/>
                <w:szCs w:val="24"/>
              </w:rPr>
              <w:t>100</w:t>
            </w:r>
          </w:p>
        </w:tc>
        <w:tc>
          <w:tcPr>
            <w:tcW w:w="105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vertAlign w:val="baseline"/>
                <w:lang w:val="en-US" w:eastAsia="zh-CN"/>
              </w:rPr>
            </w:pPr>
            <w:r>
              <w:rPr>
                <w:rFonts w:hint="default" w:ascii="Times New Roman" w:hAnsi="Times New Roman" w:cs="Times New Roman" w:eastAsiaTheme="minorEastAsia"/>
                <w:szCs w:val="24"/>
                <w:vertAlign w:val="baseline"/>
                <w:lang w:val="en-US" w:eastAsia="zh-CN"/>
              </w:rPr>
              <w:t>98.57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2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vertAlign w:val="baseline"/>
              </w:rPr>
            </w:pPr>
          </w:p>
        </w:tc>
        <w:tc>
          <w:tcPr>
            <w:tcW w:w="2780"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创新经济学</w:t>
            </w:r>
          </w:p>
        </w:tc>
        <w:tc>
          <w:tcPr>
            <w:tcW w:w="918"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b w:val="0"/>
                <w:bCs w:val="0"/>
                <w:szCs w:val="24"/>
              </w:rPr>
              <w:t>100</w:t>
            </w:r>
          </w:p>
        </w:tc>
        <w:tc>
          <w:tcPr>
            <w:tcW w:w="873"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b w:val="0"/>
                <w:bCs w:val="0"/>
                <w:szCs w:val="24"/>
              </w:rPr>
              <w:t>100</w:t>
            </w:r>
          </w:p>
        </w:tc>
        <w:tc>
          <w:tcPr>
            <w:tcW w:w="856"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b w:val="0"/>
                <w:bCs w:val="0"/>
                <w:szCs w:val="24"/>
              </w:rPr>
              <w:t>100</w:t>
            </w:r>
          </w:p>
        </w:tc>
        <w:tc>
          <w:tcPr>
            <w:tcW w:w="891"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b w:val="0"/>
                <w:bCs w:val="0"/>
                <w:szCs w:val="24"/>
              </w:rPr>
              <w:t>100</w:t>
            </w:r>
          </w:p>
        </w:tc>
        <w:tc>
          <w:tcPr>
            <w:tcW w:w="1050"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23"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vertAlign w:val="baseline"/>
              </w:rPr>
            </w:pPr>
          </w:p>
        </w:tc>
        <w:tc>
          <w:tcPr>
            <w:tcW w:w="2780"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区域发展与产业集聚</w:t>
            </w:r>
          </w:p>
        </w:tc>
        <w:tc>
          <w:tcPr>
            <w:tcW w:w="918"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b w:val="0"/>
                <w:bCs w:val="0"/>
                <w:szCs w:val="24"/>
              </w:rPr>
              <w:t>95.71</w:t>
            </w:r>
          </w:p>
        </w:tc>
        <w:tc>
          <w:tcPr>
            <w:tcW w:w="873"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b w:val="0"/>
                <w:bCs w:val="0"/>
                <w:szCs w:val="24"/>
              </w:rPr>
              <w:t>95.71</w:t>
            </w:r>
          </w:p>
        </w:tc>
        <w:tc>
          <w:tcPr>
            <w:tcW w:w="856"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b w:val="0"/>
                <w:bCs w:val="0"/>
                <w:szCs w:val="24"/>
              </w:rPr>
              <w:t>95.71</w:t>
            </w:r>
          </w:p>
        </w:tc>
        <w:tc>
          <w:tcPr>
            <w:tcW w:w="891" w:type="dxa"/>
            <w:vAlign w:val="center"/>
          </w:tcPr>
          <w:p>
            <w:pPr>
              <w:keepNext w:val="0"/>
              <w:keepLines w:val="0"/>
              <w:pageBreakBefore w:val="0"/>
              <w:widowControl w:val="0"/>
              <w:kinsoku/>
              <w:wordWrap/>
              <w:topLinePunct w:val="0"/>
              <w:autoSpaceDE/>
              <w:autoSpaceDN/>
              <w:bidi w:val="0"/>
              <w:spacing w:line="240" w:lineRule="auto"/>
              <w:ind w:firstLine="0" w:firstLineChars="0"/>
              <w:jc w:val="center"/>
              <w:textAlignment w:val="auto"/>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b w:val="0"/>
                <w:bCs w:val="0"/>
                <w:szCs w:val="24"/>
              </w:rPr>
              <w:t>95.71</w:t>
            </w:r>
          </w:p>
        </w:tc>
        <w:tc>
          <w:tcPr>
            <w:tcW w:w="1050"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vertAlign w:val="baseline"/>
              </w:rPr>
            </w:pPr>
          </w:p>
        </w:tc>
      </w:tr>
    </w:tbl>
    <w:p>
      <w:pPr>
        <w:pStyle w:val="5"/>
        <w:keepNext w:val="0"/>
        <w:keepLines w:val="0"/>
        <w:pageBreakBefore w:val="0"/>
        <w:widowControl w:val="0"/>
        <w:kinsoku/>
        <w:wordWrap/>
        <w:overflowPunct/>
        <w:topLinePunct w:val="0"/>
        <w:autoSpaceDE/>
        <w:autoSpaceDN/>
        <w:bidi w:val="0"/>
        <w:adjustRightInd/>
        <w:snapToGrid/>
        <w:spacing w:before="157" w:beforeLines="50"/>
        <w:ind w:firstLine="560" w:firstLineChars="200"/>
        <w:textAlignment w:val="auto"/>
        <w:rPr>
          <w:rFonts w:hint="default" w:eastAsia="黑体"/>
          <w:highlight w:val="yellow"/>
          <w:lang w:eastAsia="zh-Hans"/>
        </w:rPr>
      </w:pPr>
      <w:bookmarkStart w:id="59" w:name="_Toc1590"/>
      <w:r>
        <w:rPr>
          <w:rFonts w:hint="eastAsia"/>
          <w:lang w:val="en-US" w:eastAsia="zh-CN"/>
        </w:rPr>
        <w:t>2.教材建设和实施情况</w:t>
      </w:r>
    </w:p>
    <w:p>
      <w:pPr>
        <w:keepNext w:val="0"/>
        <w:keepLines w:val="0"/>
        <w:pageBreakBefore w:val="0"/>
        <w:widowControl w:val="0"/>
        <w:kinsoku/>
        <w:wordWrap/>
        <w:overflowPunct/>
        <w:topLinePunct w:val="0"/>
        <w:autoSpaceDE/>
        <w:autoSpaceDN/>
        <w:bidi w:val="0"/>
        <w:adjustRightInd/>
        <w:snapToGrid/>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为深入学习贯彻习近平总书记对研究生教育工作的重要指示和全国研究生教育会议精神，</w:t>
      </w:r>
      <w:r>
        <w:rPr>
          <w:rFonts w:hint="eastAsia" w:ascii="宋体" w:hAnsi="宋体" w:cs="宋体"/>
          <w:sz w:val="24"/>
          <w:szCs w:val="24"/>
          <w:lang w:val="en-US" w:eastAsia="zh-Hans"/>
        </w:rPr>
        <w:t>按照</w:t>
      </w:r>
      <w:r>
        <w:rPr>
          <w:rFonts w:hint="eastAsia" w:ascii="宋体" w:hAnsi="宋体" w:eastAsia="宋体" w:cs="宋体"/>
          <w:sz w:val="24"/>
          <w:szCs w:val="24"/>
          <w:lang w:val="en-US" w:eastAsia="zh-CN"/>
        </w:rPr>
        <w:t>《广东省社会科学院科研事业发展“十四五”规划》</w:t>
      </w:r>
      <w:r>
        <w:rPr>
          <w:rFonts w:hint="eastAsia" w:ascii="宋体" w:hAnsi="宋体" w:cs="宋体"/>
          <w:sz w:val="24"/>
          <w:szCs w:val="24"/>
          <w:lang w:val="en-US" w:eastAsia="zh-Hans"/>
        </w:rPr>
        <w:t>中</w:t>
      </w:r>
      <w:r>
        <w:rPr>
          <w:rFonts w:hint="eastAsia" w:ascii="宋体" w:hAnsi="宋体" w:eastAsia="宋体" w:cs="宋体"/>
          <w:sz w:val="24"/>
          <w:szCs w:val="24"/>
          <w:lang w:val="en-US" w:eastAsia="zh-CN"/>
        </w:rPr>
        <w:t>推进落实“研究生特色课程教材计划”</w:t>
      </w:r>
      <w:r>
        <w:rPr>
          <w:rFonts w:hint="eastAsia" w:ascii="宋体" w:hAnsi="宋体" w:cs="宋体"/>
          <w:sz w:val="24"/>
          <w:szCs w:val="24"/>
          <w:lang w:val="en-US" w:eastAsia="zh-Hans"/>
        </w:rPr>
        <w:t>相关要求</w:t>
      </w:r>
      <w:r>
        <w:rPr>
          <w:rFonts w:hint="eastAsia" w:ascii="宋体" w:hAnsi="宋体" w:eastAsia="宋体" w:cs="宋体"/>
          <w:sz w:val="24"/>
          <w:szCs w:val="24"/>
          <w:lang w:val="en-US" w:eastAsia="zh-CN"/>
        </w:rPr>
        <w:t>，进一步发挥教材在课程教学中的重要作用，</w:t>
      </w:r>
      <w:r>
        <w:rPr>
          <w:rFonts w:hint="eastAsia" w:ascii="宋体" w:hAnsi="宋体" w:cs="宋体"/>
          <w:sz w:val="24"/>
          <w:szCs w:val="24"/>
          <w:lang w:val="en-US" w:eastAsia="zh-CN"/>
        </w:rPr>
        <w:t>我院</w:t>
      </w:r>
      <w:r>
        <w:rPr>
          <w:rFonts w:hint="eastAsia" w:ascii="宋体" w:hAnsi="宋体" w:eastAsia="宋体" w:cs="宋体"/>
          <w:sz w:val="24"/>
          <w:szCs w:val="24"/>
          <w:lang w:val="en-US" w:eastAsia="zh-CN"/>
        </w:rPr>
        <w:t>设立</w:t>
      </w:r>
      <w:r>
        <w:rPr>
          <w:rFonts w:hint="eastAsia" w:ascii="宋体" w:hAnsi="宋体" w:cs="宋体"/>
          <w:sz w:val="24"/>
          <w:szCs w:val="24"/>
          <w:lang w:val="en-US" w:eastAsia="zh-Hans"/>
        </w:rPr>
        <w:t>了</w:t>
      </w:r>
      <w:r>
        <w:rPr>
          <w:rFonts w:hint="eastAsia" w:ascii="宋体" w:hAnsi="宋体" w:eastAsia="宋体" w:cs="宋体"/>
          <w:sz w:val="24"/>
          <w:szCs w:val="24"/>
          <w:highlight w:val="none"/>
          <w:lang w:val="en-US" w:eastAsia="zh-CN"/>
        </w:rPr>
        <w:t>广东省社会科学院研究生特色课程教材建设项目</w:t>
      </w:r>
      <w:r>
        <w:rPr>
          <w:rFonts w:hint="eastAsia" w:ascii="宋体" w:hAnsi="宋体" w:cs="宋体"/>
          <w:sz w:val="24"/>
          <w:szCs w:val="24"/>
          <w:lang w:val="en-US" w:eastAsia="zh-CN"/>
        </w:rPr>
        <w:t>并实施</w:t>
      </w:r>
      <w:r>
        <w:rPr>
          <w:rFonts w:hint="eastAsia" w:ascii="宋体" w:hAnsi="宋体" w:eastAsia="宋体" w:cs="宋体"/>
          <w:sz w:val="24"/>
          <w:szCs w:val="24"/>
          <w:lang w:val="en-US" w:eastAsia="zh-CN"/>
        </w:rPr>
        <w:t>《广东省社会科学院研究生特色课程教材建设项目管理办法》</w:t>
      </w:r>
      <w:r>
        <w:rPr>
          <w:rFonts w:hint="eastAsia" w:ascii="宋体" w:hAnsi="宋体" w:cs="宋体"/>
          <w:sz w:val="24"/>
          <w:szCs w:val="24"/>
          <w:lang w:val="en-US" w:eastAsia="zh-CN"/>
        </w:rPr>
        <w:t>。2023年，经过教师申请、专家评审、院长办公会审议等程序，本学位点申报的项目《国际贸易区域化的理论与实践》获准立项。</w:t>
      </w:r>
    </w:p>
    <w:p>
      <w:pPr>
        <w:pStyle w:val="5"/>
        <w:keepNext w:val="0"/>
        <w:keepLines w:val="0"/>
        <w:pageBreakBefore w:val="0"/>
        <w:widowControl w:val="0"/>
        <w:kinsoku/>
        <w:wordWrap/>
        <w:overflowPunct/>
        <w:topLinePunct w:val="0"/>
        <w:autoSpaceDE/>
        <w:autoSpaceDN/>
        <w:bidi w:val="0"/>
        <w:adjustRightInd/>
        <w:snapToGrid/>
        <w:spacing w:line="336" w:lineRule="auto"/>
        <w:ind w:firstLine="560" w:firstLineChars="200"/>
        <w:textAlignment w:val="auto"/>
        <w:rPr>
          <w:rFonts w:hint="eastAsia" w:eastAsia="黑体"/>
          <w:lang w:eastAsia="zh-CN"/>
        </w:rPr>
      </w:pPr>
      <w:r>
        <w:rPr>
          <w:rFonts w:hint="eastAsia"/>
          <w:lang w:val="en-US" w:eastAsia="zh-CN"/>
        </w:rPr>
        <w:t>3</w:t>
      </w:r>
      <w:r>
        <w:rPr>
          <w:rFonts w:hint="eastAsia"/>
        </w:rPr>
        <w:t>.</w:t>
      </w:r>
      <w:r>
        <w:rPr>
          <w:rFonts w:hint="eastAsia"/>
          <w:lang w:val="en-US" w:eastAsia="zh-CN"/>
        </w:rPr>
        <w:t>项目申报</w:t>
      </w:r>
      <w:r>
        <w:rPr>
          <w:rFonts w:hint="eastAsia"/>
          <w:lang w:val="en-US" w:eastAsia="zh-Hans"/>
        </w:rPr>
        <w:t>与</w:t>
      </w:r>
      <w:r>
        <w:rPr>
          <w:rFonts w:hint="eastAsia"/>
        </w:rPr>
        <w:t>课题参与</w:t>
      </w:r>
      <w:r>
        <w:rPr>
          <w:rFonts w:hint="eastAsia"/>
          <w:lang w:val="en-US" w:eastAsia="zh-Hans"/>
        </w:rPr>
        <w:t>情况</w:t>
      </w:r>
      <w:bookmarkEnd w:id="59"/>
    </w:p>
    <w:p>
      <w:pPr>
        <w:keepNext w:val="0"/>
        <w:keepLines w:val="0"/>
        <w:pageBreakBefore w:val="0"/>
        <w:widowControl w:val="0"/>
        <w:kinsoku/>
        <w:wordWrap/>
        <w:overflowPunct/>
        <w:topLinePunct w:val="0"/>
        <w:autoSpaceDE/>
        <w:autoSpaceDN/>
        <w:bidi w:val="0"/>
        <w:adjustRightInd/>
        <w:snapToGrid/>
        <w:spacing w:line="336" w:lineRule="auto"/>
        <w:ind w:firstLine="480"/>
        <w:textAlignment w:val="auto"/>
        <w:rPr>
          <w:rFonts w:hint="eastAsia"/>
        </w:rPr>
      </w:pPr>
      <w:r>
        <w:rPr>
          <w:rFonts w:hint="eastAsia"/>
        </w:rPr>
        <w:t>本学位点鼓励研究生</w:t>
      </w:r>
      <w:r>
        <w:rPr>
          <w:rFonts w:hint="eastAsia"/>
          <w:lang w:val="en-US" w:eastAsia="zh-CN"/>
        </w:rPr>
        <w:t>积极申报我院</w:t>
      </w:r>
      <w:r>
        <w:rPr>
          <w:rFonts w:hint="eastAsia"/>
        </w:rPr>
        <w:t>研究生科研创新项目</w:t>
      </w:r>
      <w:r>
        <w:rPr>
          <w:rFonts w:hint="eastAsia"/>
          <w:lang w:eastAsia="zh-CN"/>
        </w:rPr>
        <w:t>，</w:t>
      </w:r>
      <w:r>
        <w:rPr>
          <w:rFonts w:hint="eastAsia"/>
          <w:lang w:val="en-US" w:eastAsia="zh-CN"/>
        </w:rPr>
        <w:t>并引导学生深度</w:t>
      </w:r>
      <w:r>
        <w:rPr>
          <w:rFonts w:hint="eastAsia"/>
        </w:rPr>
        <w:t>参与导师各类</w:t>
      </w:r>
      <w:r>
        <w:rPr>
          <w:rFonts w:hint="eastAsia"/>
          <w:lang w:val="en-US" w:eastAsia="zh-CN"/>
        </w:rPr>
        <w:t>科研</w:t>
      </w:r>
      <w:r>
        <w:rPr>
          <w:rFonts w:hint="eastAsia"/>
        </w:rPr>
        <w:t>课题，以提升研究生分析实际问题和解决问题的能力</w:t>
      </w:r>
      <w:r>
        <w:rPr>
          <w:rFonts w:hint="default"/>
          <w:lang w:eastAsia="zh-CN"/>
        </w:rPr>
        <w:t>，</w:t>
      </w:r>
      <w:r>
        <w:rPr>
          <w:rFonts w:hint="eastAsia"/>
          <w:lang w:val="en-US" w:eastAsia="zh-Hans"/>
        </w:rPr>
        <w:t>培养深度</w:t>
      </w:r>
      <w:r>
        <w:rPr>
          <w:rFonts w:hint="eastAsia"/>
        </w:rPr>
        <w:t>科学研究和</w:t>
      </w:r>
      <w:r>
        <w:rPr>
          <w:rFonts w:hint="eastAsia"/>
          <w:lang w:val="en-US" w:eastAsia="zh-Hans"/>
        </w:rPr>
        <w:t>精准</w:t>
      </w:r>
      <w:r>
        <w:rPr>
          <w:rFonts w:hint="eastAsia"/>
        </w:rPr>
        <w:t>决策咨询</w:t>
      </w:r>
      <w:r>
        <w:rPr>
          <w:rFonts w:hint="eastAsia"/>
          <w:lang w:val="en-US" w:eastAsia="zh-Hans"/>
        </w:rPr>
        <w:t>的</w:t>
      </w:r>
      <w:r>
        <w:rPr>
          <w:rFonts w:hint="eastAsia"/>
          <w:lang w:val="en-US" w:eastAsia="zh-CN"/>
        </w:rPr>
        <w:t>水平</w:t>
      </w:r>
      <w:r>
        <w:rPr>
          <w:rFonts w:hint="eastAsia"/>
        </w:rPr>
        <w:t>。202</w:t>
      </w:r>
      <w:r>
        <w:rPr>
          <w:rFonts w:hint="eastAsia"/>
          <w:lang w:val="en-US" w:eastAsia="zh-CN"/>
        </w:rPr>
        <w:t>3</w:t>
      </w:r>
      <w:r>
        <w:rPr>
          <w:rFonts w:hint="eastAsia"/>
        </w:rPr>
        <w:t>年，</w:t>
      </w:r>
      <w:r>
        <w:rPr>
          <w:rFonts w:hint="eastAsia"/>
          <w:lang w:val="en-US" w:eastAsia="zh-CN"/>
        </w:rPr>
        <w:t>我院支持研究生建立团队开展前沿研究，共</w:t>
      </w:r>
      <w:r>
        <w:rPr>
          <w:rFonts w:hint="eastAsia"/>
        </w:rPr>
        <w:t>资助</w:t>
      </w:r>
      <w:r>
        <w:rPr>
          <w:rFonts w:hint="eastAsia"/>
          <w:lang w:val="en-US" w:eastAsia="zh-CN"/>
        </w:rPr>
        <w:t>本学位点</w:t>
      </w:r>
      <w:r>
        <w:rPr>
          <w:rFonts w:hint="eastAsia"/>
        </w:rPr>
        <w:t>研究生科研创新项目</w:t>
      </w:r>
      <w:r>
        <w:rPr>
          <w:rFonts w:hint="eastAsia"/>
          <w:lang w:val="en-US" w:eastAsia="zh-CN"/>
        </w:rPr>
        <w:t>5</w:t>
      </w:r>
      <w:r>
        <w:rPr>
          <w:rFonts w:hint="eastAsia"/>
        </w:rPr>
        <w:t>项</w:t>
      </w:r>
      <w:r>
        <w:rPr>
          <w:rFonts w:hint="eastAsia"/>
          <w:lang w:eastAsia="zh-CN"/>
        </w:rPr>
        <w:t>，</w:t>
      </w:r>
      <w:r>
        <w:rPr>
          <w:rFonts w:hint="eastAsia"/>
          <w:lang w:val="en-US" w:eastAsia="zh-CN"/>
        </w:rPr>
        <w:t>研究内容主要涉及金融监管、绿色创新、企业技术创新、城市绿色发展、数字经济等</w:t>
      </w:r>
      <w:r>
        <w:rPr>
          <w:rFonts w:hint="eastAsia"/>
          <w:lang w:eastAsia="zh-CN"/>
        </w:rPr>
        <w:t>；</w:t>
      </w:r>
      <w:r>
        <w:rPr>
          <w:rFonts w:hint="eastAsia"/>
          <w:lang w:val="en-US" w:eastAsia="zh-CN"/>
        </w:rPr>
        <w:t>同时，本学位点</w:t>
      </w:r>
      <w:r>
        <w:rPr>
          <w:rFonts w:hint="eastAsia"/>
        </w:rPr>
        <w:t>学生</w:t>
      </w:r>
      <w:r>
        <w:rPr>
          <w:rFonts w:hint="eastAsia"/>
          <w:lang w:val="en-US" w:eastAsia="zh-CN"/>
        </w:rPr>
        <w:t>深度</w:t>
      </w:r>
      <w:r>
        <w:rPr>
          <w:rFonts w:hint="eastAsia"/>
        </w:rPr>
        <w:t>参与</w:t>
      </w:r>
      <w:r>
        <w:rPr>
          <w:rFonts w:hint="eastAsia"/>
          <w:lang w:val="en-US" w:eastAsia="zh-CN"/>
        </w:rPr>
        <w:t>19</w:t>
      </w:r>
      <w:r>
        <w:rPr>
          <w:rFonts w:hint="eastAsia"/>
        </w:rPr>
        <w:t>项导师课题（见表</w:t>
      </w:r>
      <w:r>
        <w:rPr>
          <w:rFonts w:hint="eastAsia"/>
          <w:lang w:val="en-US" w:eastAsia="zh-CN"/>
        </w:rPr>
        <w:t>5</w:t>
      </w:r>
      <w:r>
        <w:rPr>
          <w:rFonts w:hint="eastAsia"/>
        </w:rPr>
        <w:t>）。</w:t>
      </w:r>
    </w:p>
    <w:p>
      <w:pPr>
        <w:keepNext w:val="0"/>
        <w:keepLines w:val="0"/>
        <w:pageBreakBefore w:val="0"/>
        <w:widowControl w:val="0"/>
        <w:kinsoku/>
        <w:wordWrap/>
        <w:overflowPunct/>
        <w:topLinePunct w:val="0"/>
        <w:autoSpaceDE/>
        <w:autoSpaceDN/>
        <w:bidi w:val="0"/>
        <w:adjustRightInd/>
        <w:snapToGrid/>
        <w:spacing w:before="95" w:beforeLines="30" w:after="95" w:afterLines="30"/>
        <w:ind w:left="0" w:leftChars="0" w:firstLine="0" w:firstLineChars="0"/>
        <w:jc w:val="center"/>
        <w:textAlignment w:val="auto"/>
        <w:outlineLvl w:val="9"/>
        <w:rPr>
          <w:rFonts w:hint="eastAsia"/>
          <w:b/>
          <w:bCs/>
        </w:rPr>
      </w:pPr>
      <w:r>
        <w:rPr>
          <w:rFonts w:hint="eastAsia"/>
          <w:b/>
          <w:bCs/>
        </w:rPr>
        <w:t>表</w:t>
      </w:r>
      <w:r>
        <w:rPr>
          <w:rFonts w:hint="eastAsia"/>
          <w:b/>
          <w:bCs/>
          <w:lang w:val="en-US" w:eastAsia="zh-CN"/>
        </w:rPr>
        <w:t>5</w:t>
      </w:r>
      <w:r>
        <w:rPr>
          <w:rFonts w:hint="eastAsia"/>
          <w:b/>
          <w:bCs/>
        </w:rPr>
        <w:t xml:space="preserve"> 研究生参与课题情况</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3303"/>
        <w:gridCol w:w="3270"/>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03" w:type="dxa"/>
            <w:vAlign w:val="center"/>
          </w:tcPr>
          <w:p>
            <w:pPr>
              <w:pStyle w:val="28"/>
              <w:widowControl w:val="0"/>
              <w:spacing w:line="240" w:lineRule="auto"/>
              <w:rPr>
                <w:rFonts w:hint="default" w:ascii="Times New Roman" w:hAnsi="Times New Roman" w:cs="Times New Roman" w:eastAsiaTheme="minorEastAsia"/>
                <w:b/>
                <w:bCs/>
                <w:sz w:val="24"/>
                <w:szCs w:val="24"/>
                <w:lang w:val="en-US" w:eastAsia="zh-CN" w:bidi="ar-SA"/>
              </w:rPr>
            </w:pPr>
            <w:r>
              <w:rPr>
                <w:rFonts w:hint="default" w:ascii="Times New Roman" w:hAnsi="Times New Roman" w:cs="Times New Roman" w:eastAsiaTheme="minorEastAsia"/>
                <w:b/>
                <w:bCs/>
                <w:sz w:val="24"/>
              </w:rPr>
              <w:t>序号</w:t>
            </w:r>
          </w:p>
        </w:tc>
        <w:tc>
          <w:tcPr>
            <w:tcW w:w="3303" w:type="dxa"/>
            <w:vAlign w:val="center"/>
          </w:tcPr>
          <w:p>
            <w:pPr>
              <w:pStyle w:val="28"/>
              <w:widowControl w:val="0"/>
              <w:spacing w:line="240" w:lineRule="auto"/>
              <w:rPr>
                <w:rFonts w:hint="default" w:ascii="Times New Roman" w:hAnsi="Times New Roman" w:cs="Times New Roman" w:eastAsiaTheme="minorEastAsia"/>
                <w:b/>
                <w:bCs/>
                <w:sz w:val="24"/>
                <w:szCs w:val="24"/>
                <w:lang w:val="en-US" w:eastAsia="zh-CN" w:bidi="ar-SA"/>
              </w:rPr>
            </w:pPr>
            <w:r>
              <w:rPr>
                <w:rFonts w:hint="default" w:ascii="Times New Roman" w:hAnsi="Times New Roman" w:cs="Times New Roman" w:eastAsiaTheme="minorEastAsia"/>
                <w:b/>
                <w:bCs/>
                <w:sz w:val="24"/>
              </w:rPr>
              <w:t>名称</w:t>
            </w:r>
          </w:p>
        </w:tc>
        <w:tc>
          <w:tcPr>
            <w:tcW w:w="3270" w:type="dxa"/>
            <w:vAlign w:val="center"/>
          </w:tcPr>
          <w:p>
            <w:pPr>
              <w:pStyle w:val="28"/>
              <w:widowControl w:val="0"/>
              <w:spacing w:line="240" w:lineRule="auto"/>
              <w:rPr>
                <w:rFonts w:hint="default" w:ascii="Times New Roman" w:hAnsi="Times New Roman" w:cs="Times New Roman" w:eastAsiaTheme="minorEastAsia"/>
                <w:b/>
                <w:bCs/>
                <w:sz w:val="24"/>
                <w:szCs w:val="24"/>
                <w:lang w:val="en-US" w:eastAsia="zh-CN" w:bidi="ar-SA"/>
              </w:rPr>
            </w:pPr>
            <w:r>
              <w:rPr>
                <w:rFonts w:hint="default" w:ascii="Times New Roman" w:hAnsi="Times New Roman" w:cs="Times New Roman" w:eastAsiaTheme="minorEastAsia"/>
                <w:b/>
                <w:bCs/>
                <w:sz w:val="24"/>
              </w:rPr>
              <w:t>来源</w:t>
            </w:r>
          </w:p>
        </w:tc>
        <w:tc>
          <w:tcPr>
            <w:tcW w:w="1246" w:type="dxa"/>
            <w:vAlign w:val="center"/>
          </w:tcPr>
          <w:p>
            <w:pPr>
              <w:pStyle w:val="28"/>
              <w:widowControl w:val="0"/>
              <w:spacing w:line="240" w:lineRule="auto"/>
              <w:rPr>
                <w:rFonts w:hint="default" w:ascii="Times New Roman" w:hAnsi="Times New Roman" w:cs="Times New Roman" w:eastAsiaTheme="minorEastAsia"/>
                <w:b/>
                <w:bCs/>
                <w:sz w:val="24"/>
                <w:szCs w:val="24"/>
                <w:lang w:val="en-US" w:eastAsia="zh-CN" w:bidi="ar-SA"/>
              </w:rPr>
            </w:pPr>
            <w:r>
              <w:rPr>
                <w:rFonts w:hint="default" w:ascii="Times New Roman" w:hAnsi="Times New Roman" w:cs="Times New Roman" w:eastAsiaTheme="minorEastAsia"/>
                <w:b/>
                <w:bCs/>
                <w:sz w:val="24"/>
                <w:lang w:val="en-US" w:eastAsia="zh-CN"/>
              </w:rPr>
              <w:t>成果形式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28"/>
              <w:widowControl w:val="0"/>
              <w:adjustRightInd w:val="0"/>
              <w:snapToGrid w:val="0"/>
              <w:spacing w:line="240" w:lineRule="auto"/>
              <w:rPr>
                <w:rFonts w:hint="default" w:ascii="Times New Roman" w:hAnsi="Times New Roman" w:cs="Times New Roman"/>
                <w:vertAlign w:val="baseline"/>
              </w:rPr>
            </w:pPr>
            <w:r>
              <w:rPr>
                <w:rFonts w:hint="default" w:ascii="Times New Roman" w:hAnsi="Times New Roman" w:cs="Times New Roman" w:eastAsiaTheme="minorEastAsia"/>
                <w:sz w:val="24"/>
              </w:rPr>
              <w:t>1</w:t>
            </w:r>
          </w:p>
        </w:tc>
        <w:tc>
          <w:tcPr>
            <w:tcW w:w="3303"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vertAlign w:val="baseli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2022-2023年广东对外经贸发展形势分析与预测</w:t>
            </w:r>
          </w:p>
        </w:tc>
        <w:tc>
          <w:tcPr>
            <w:tcW w:w="3270" w:type="dxa"/>
            <w:vMerge w:val="restart"/>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vertAlign w:val="baseli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《广东经济社会形势分析与预测（2023）》</w:t>
            </w:r>
          </w:p>
        </w:tc>
        <w:tc>
          <w:tcPr>
            <w:tcW w:w="124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蓝皮书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28"/>
              <w:widowControl w:val="0"/>
              <w:adjustRightInd w:val="0"/>
              <w:snapToGrid w:val="0"/>
              <w:spacing w:line="240" w:lineRule="auto"/>
              <w:rPr>
                <w:rFonts w:hint="default" w:ascii="Times New Roman" w:hAnsi="Times New Roman" w:cs="Times New Roman" w:eastAsiaTheme="minorEastAsia"/>
                <w:sz w:val="24"/>
                <w:szCs w:val="24"/>
                <w:lang w:val="en-US" w:eastAsia="zh-CN" w:bidi="ar-SA"/>
              </w:rPr>
            </w:pPr>
            <w:r>
              <w:rPr>
                <w:rFonts w:hint="default" w:ascii="Times New Roman" w:hAnsi="Times New Roman" w:cs="Times New Roman" w:eastAsiaTheme="minorEastAsia"/>
                <w:sz w:val="24"/>
                <w:lang w:val="en-US" w:eastAsia="zh-CN"/>
              </w:rPr>
              <w:t>2</w:t>
            </w:r>
          </w:p>
        </w:tc>
        <w:tc>
          <w:tcPr>
            <w:tcW w:w="3303"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eastAsiaTheme="minorEastAsia"/>
                <w:b w:val="0"/>
                <w:bCs w:val="0"/>
                <w:i w:val="0"/>
                <w:iCs w:val="0"/>
                <w:color w:val="000000"/>
                <w:kern w:val="0"/>
                <w:sz w:val="24"/>
                <w:szCs w:val="24"/>
                <w:u w:val="none"/>
                <w:lang w:val="en-US" w:eastAsia="zh-CN" w:bidi="ar"/>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2022-2023年广东</w:t>
            </w:r>
            <w:r>
              <w:rPr>
                <w:rFonts w:hint="eastAsia" w:cs="Times New Roman" w:eastAsiaTheme="minorEastAsia"/>
                <w:b w:val="0"/>
                <w:bCs w:val="0"/>
                <w:i w:val="0"/>
                <w:iCs w:val="0"/>
                <w:color w:val="000000"/>
                <w:kern w:val="0"/>
                <w:sz w:val="24"/>
                <w:szCs w:val="24"/>
                <w:u w:val="none"/>
                <w:lang w:val="en-US" w:eastAsia="zh-CN" w:bidi="ar"/>
              </w:rPr>
              <w:t>产业</w:t>
            </w:r>
            <w:r>
              <w:rPr>
                <w:rFonts w:hint="default" w:ascii="Times New Roman" w:hAnsi="Times New Roman" w:cs="Times New Roman" w:eastAsiaTheme="minorEastAsia"/>
                <w:b w:val="0"/>
                <w:bCs w:val="0"/>
                <w:i w:val="0"/>
                <w:iCs w:val="0"/>
                <w:color w:val="000000"/>
                <w:kern w:val="0"/>
                <w:sz w:val="24"/>
                <w:szCs w:val="24"/>
                <w:u w:val="none"/>
                <w:lang w:val="en-US" w:eastAsia="zh-CN" w:bidi="ar"/>
              </w:rPr>
              <w:t>发展形势分析与预测</w:t>
            </w:r>
          </w:p>
        </w:tc>
        <w:tc>
          <w:tcPr>
            <w:tcW w:w="3270" w:type="dxa"/>
            <w:vMerge w:val="continue"/>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eastAsiaTheme="minorEastAsia"/>
                <w:b w:val="0"/>
                <w:bCs w:val="0"/>
                <w:i w:val="0"/>
                <w:iCs w:val="0"/>
                <w:color w:val="000000"/>
                <w:kern w:val="0"/>
                <w:sz w:val="24"/>
                <w:szCs w:val="24"/>
                <w:u w:val="none"/>
                <w:lang w:val="en-US" w:eastAsia="zh-CN" w:bidi="ar"/>
              </w:rPr>
            </w:pPr>
          </w:p>
        </w:tc>
        <w:tc>
          <w:tcPr>
            <w:tcW w:w="12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28"/>
              <w:widowControl w:val="0"/>
              <w:adjustRightInd w:val="0"/>
              <w:snapToGrid w:val="0"/>
              <w:spacing w:line="240" w:lineRule="auto"/>
              <w:rPr>
                <w:rFonts w:hint="default" w:ascii="Times New Roman" w:hAnsi="Times New Roman" w:eastAsia="宋体" w:cs="Times New Roman"/>
                <w:sz w:val="21"/>
                <w:szCs w:val="24"/>
                <w:vertAlign w:val="baseline"/>
                <w:lang w:val="en-US" w:eastAsia="zh-CN" w:bidi="ar-SA"/>
              </w:rPr>
            </w:pPr>
            <w:r>
              <w:rPr>
                <w:rFonts w:hint="default" w:ascii="Times New Roman" w:hAnsi="Times New Roman" w:cs="Times New Roman" w:eastAsiaTheme="minorEastAsia"/>
                <w:sz w:val="24"/>
              </w:rPr>
              <w:t>3</w:t>
            </w:r>
          </w:p>
        </w:tc>
        <w:tc>
          <w:tcPr>
            <w:tcW w:w="3303"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eastAsiaTheme="minorEastAsia"/>
                <w:b w:val="0"/>
                <w:bCs w:val="0"/>
                <w:i w:val="0"/>
                <w:iCs w:val="0"/>
                <w:color w:val="000000"/>
                <w:kern w:val="0"/>
                <w:sz w:val="24"/>
                <w:szCs w:val="24"/>
                <w:u w:val="none"/>
                <w:lang w:val="en-US" w:eastAsia="zh-CN" w:bidi="ar"/>
              </w:rPr>
            </w:pPr>
            <w:r>
              <w:rPr>
                <w:rFonts w:hint="default" w:ascii="Times New Roman" w:hAnsi="Times New Roman" w:cs="Times New Roman" w:eastAsiaTheme="minorEastAsia"/>
                <w:b w:val="0"/>
                <w:bCs w:val="0"/>
                <w:i w:val="0"/>
                <w:iCs w:val="0"/>
                <w:color w:val="000000"/>
                <w:kern w:val="0"/>
                <w:sz w:val="24"/>
                <w:szCs w:val="24"/>
                <w:highlight w:val="none"/>
                <w:u w:val="none"/>
                <w:lang w:val="en-US" w:eastAsia="zh-CN" w:bidi="ar"/>
              </w:rPr>
              <w:t>202</w:t>
            </w:r>
            <w:r>
              <w:rPr>
                <w:rFonts w:hint="eastAsia" w:cs="Times New Roman" w:eastAsiaTheme="minorEastAsia"/>
                <w:b w:val="0"/>
                <w:bCs w:val="0"/>
                <w:i w:val="0"/>
                <w:iCs w:val="0"/>
                <w:color w:val="000000"/>
                <w:kern w:val="0"/>
                <w:sz w:val="24"/>
                <w:szCs w:val="24"/>
                <w:highlight w:val="none"/>
                <w:u w:val="none"/>
                <w:lang w:val="en-US" w:eastAsia="zh-CN" w:bidi="ar"/>
              </w:rPr>
              <w:t>3</w:t>
            </w:r>
            <w:r>
              <w:rPr>
                <w:rFonts w:hint="default" w:ascii="Times New Roman" w:hAnsi="Times New Roman" w:cs="Times New Roman" w:eastAsiaTheme="minorEastAsia"/>
                <w:b w:val="0"/>
                <w:bCs w:val="0"/>
                <w:i w:val="0"/>
                <w:iCs w:val="0"/>
                <w:color w:val="000000"/>
                <w:kern w:val="0"/>
                <w:sz w:val="24"/>
                <w:szCs w:val="24"/>
                <w:highlight w:val="none"/>
                <w:u w:val="none"/>
                <w:lang w:val="en-US" w:eastAsia="zh-CN" w:bidi="ar"/>
              </w:rPr>
              <w:t>-202</w:t>
            </w:r>
            <w:r>
              <w:rPr>
                <w:rFonts w:hint="eastAsia" w:cs="Times New Roman" w:eastAsiaTheme="minorEastAsia"/>
                <w:b w:val="0"/>
                <w:bCs w:val="0"/>
                <w:i w:val="0"/>
                <w:iCs w:val="0"/>
                <w:color w:val="000000"/>
                <w:kern w:val="0"/>
                <w:sz w:val="24"/>
                <w:szCs w:val="24"/>
                <w:highlight w:val="none"/>
                <w:u w:val="none"/>
                <w:lang w:val="en-US" w:eastAsia="zh-CN" w:bidi="ar"/>
              </w:rPr>
              <w:t>4</w:t>
            </w:r>
            <w:r>
              <w:rPr>
                <w:rFonts w:hint="default" w:ascii="Times New Roman" w:hAnsi="Times New Roman" w:cs="Times New Roman" w:eastAsiaTheme="minorEastAsia"/>
                <w:b w:val="0"/>
                <w:bCs w:val="0"/>
                <w:i w:val="0"/>
                <w:iCs w:val="0"/>
                <w:color w:val="000000"/>
                <w:kern w:val="0"/>
                <w:sz w:val="24"/>
                <w:szCs w:val="24"/>
                <w:highlight w:val="none"/>
                <w:u w:val="none"/>
                <w:lang w:val="en-US" w:eastAsia="zh-CN" w:bidi="ar"/>
              </w:rPr>
              <w:t>年广东产业发展形势分析与预测</w:t>
            </w:r>
          </w:p>
        </w:tc>
        <w:tc>
          <w:tcPr>
            <w:tcW w:w="3270" w:type="dxa"/>
            <w:vMerge w:val="restart"/>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eastAsia="宋体" w:cs="Times New Roman"/>
                <w:kern w:val="2"/>
                <w:sz w:val="24"/>
                <w:szCs w:val="22"/>
                <w:vertAlign w:val="baseline"/>
                <w:lang w:val="en-US" w:eastAsia="zh-CN" w:bidi="ar-SA"/>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《广东经济社会形势分析与预测（2024）》</w:t>
            </w:r>
          </w:p>
        </w:tc>
        <w:tc>
          <w:tcPr>
            <w:tcW w:w="12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28"/>
              <w:widowControl w:val="0"/>
              <w:adjustRightInd w:val="0"/>
              <w:snapToGrid w:val="0"/>
              <w:spacing w:line="240" w:lineRule="auto"/>
              <w:rPr>
                <w:rFonts w:hint="default" w:ascii="Times New Roman" w:hAnsi="Times New Roman" w:eastAsia="宋体" w:cs="Times New Roman"/>
                <w:sz w:val="21"/>
                <w:szCs w:val="24"/>
                <w:vertAlign w:val="baseline"/>
                <w:lang w:val="en-US" w:eastAsia="zh-CN" w:bidi="ar-SA"/>
              </w:rPr>
            </w:pPr>
            <w:r>
              <w:rPr>
                <w:rFonts w:hint="default" w:ascii="Times New Roman" w:hAnsi="Times New Roman" w:cs="Times New Roman" w:eastAsiaTheme="minorEastAsia"/>
                <w:sz w:val="24"/>
                <w:lang w:val="en-US" w:eastAsia="zh-CN"/>
              </w:rPr>
              <w:t>4</w:t>
            </w:r>
          </w:p>
        </w:tc>
        <w:tc>
          <w:tcPr>
            <w:tcW w:w="3303"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eastAsia="宋体" w:cs="Times New Roman"/>
                <w:kern w:val="2"/>
                <w:sz w:val="24"/>
                <w:szCs w:val="22"/>
                <w:vertAlign w:val="baseline"/>
                <w:lang w:val="en-US" w:eastAsia="zh-CN" w:bidi="ar-SA"/>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2023-2024年广东对外经贸形势分析与预测</w:t>
            </w:r>
          </w:p>
        </w:tc>
        <w:tc>
          <w:tcPr>
            <w:tcW w:w="3270" w:type="dxa"/>
            <w:vMerge w:val="continue"/>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eastAsia="宋体" w:cs="Times New Roman"/>
                <w:kern w:val="2"/>
                <w:sz w:val="24"/>
                <w:szCs w:val="22"/>
                <w:vertAlign w:val="baseline"/>
                <w:lang w:val="en-US" w:eastAsia="zh-CN" w:bidi="ar-SA"/>
              </w:rPr>
            </w:pPr>
          </w:p>
        </w:tc>
        <w:tc>
          <w:tcPr>
            <w:tcW w:w="12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28"/>
              <w:widowControl w:val="0"/>
              <w:adjustRightInd w:val="0"/>
              <w:snapToGrid w:val="0"/>
              <w:spacing w:line="240" w:lineRule="auto"/>
              <w:rPr>
                <w:rFonts w:hint="default" w:ascii="Times New Roman" w:hAnsi="Times New Roman" w:eastAsia="宋体" w:cs="Times New Roman"/>
                <w:sz w:val="21"/>
                <w:szCs w:val="24"/>
                <w:vertAlign w:val="baseline"/>
                <w:lang w:val="en-US" w:eastAsia="zh-CN" w:bidi="ar-SA"/>
              </w:rPr>
            </w:pPr>
            <w:r>
              <w:rPr>
                <w:rFonts w:hint="default" w:ascii="Times New Roman" w:hAnsi="Times New Roman" w:cs="Times New Roman" w:eastAsiaTheme="minorEastAsia"/>
                <w:sz w:val="24"/>
                <w:lang w:val="en-US" w:eastAsia="zh-CN"/>
              </w:rPr>
              <w:t>5</w:t>
            </w:r>
          </w:p>
        </w:tc>
        <w:tc>
          <w:tcPr>
            <w:tcW w:w="3303"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eastAsiaTheme="minorEastAsia"/>
                <w:b w:val="0"/>
                <w:bCs w:val="0"/>
                <w:i w:val="0"/>
                <w:iCs w:val="0"/>
                <w:color w:val="000000"/>
                <w:kern w:val="0"/>
                <w:sz w:val="24"/>
                <w:szCs w:val="24"/>
                <w:u w:val="none"/>
                <w:lang w:val="en-US" w:eastAsia="zh-CN" w:bidi="ar"/>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2023年广东海洋强省建设报告</w:t>
            </w:r>
          </w:p>
        </w:tc>
        <w:tc>
          <w:tcPr>
            <w:tcW w:w="3270" w:type="dxa"/>
            <w:vMerge w:val="continue"/>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eastAsiaTheme="minorEastAsia"/>
                <w:b w:val="0"/>
                <w:bCs w:val="0"/>
                <w:i w:val="0"/>
                <w:iCs w:val="0"/>
                <w:color w:val="000000"/>
                <w:kern w:val="0"/>
                <w:sz w:val="24"/>
                <w:szCs w:val="24"/>
                <w:u w:val="none"/>
                <w:lang w:val="en-US" w:eastAsia="zh-CN" w:bidi="ar"/>
              </w:rPr>
            </w:pPr>
          </w:p>
        </w:tc>
        <w:tc>
          <w:tcPr>
            <w:tcW w:w="12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28"/>
              <w:widowControl w:val="0"/>
              <w:adjustRightInd w:val="0"/>
              <w:snapToGrid w:val="0"/>
              <w:spacing w:line="240" w:lineRule="auto"/>
              <w:rPr>
                <w:rFonts w:hint="default" w:ascii="Times New Roman" w:hAnsi="Times New Roman" w:eastAsia="宋体" w:cs="Times New Roman"/>
                <w:sz w:val="21"/>
                <w:szCs w:val="24"/>
                <w:vertAlign w:val="baseline"/>
                <w:lang w:val="en-US" w:eastAsia="zh-CN" w:bidi="ar-SA"/>
              </w:rPr>
            </w:pPr>
            <w:r>
              <w:rPr>
                <w:rFonts w:hint="default" w:ascii="Times New Roman" w:hAnsi="Times New Roman" w:cs="Times New Roman" w:eastAsiaTheme="minorEastAsia"/>
                <w:sz w:val="24"/>
                <w:lang w:val="en-US" w:eastAsia="zh-CN"/>
              </w:rPr>
              <w:t>6</w:t>
            </w:r>
          </w:p>
        </w:tc>
        <w:tc>
          <w:tcPr>
            <w:tcW w:w="3303"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vertAlign w:val="baseli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粤港澳大湾区特色合作发展平台建设报告</w:t>
            </w:r>
          </w:p>
        </w:tc>
        <w:tc>
          <w:tcPr>
            <w:tcW w:w="3270" w:type="dxa"/>
            <w:vMerge w:val="restart"/>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vertAlign w:val="baseli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《粤港澳大湾区建设报告（2023）》</w:t>
            </w:r>
          </w:p>
        </w:tc>
        <w:tc>
          <w:tcPr>
            <w:tcW w:w="12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28"/>
              <w:widowControl w:val="0"/>
              <w:adjustRightInd w:val="0"/>
              <w:snapToGrid w:val="0"/>
              <w:spacing w:line="240" w:lineRule="auto"/>
              <w:rPr>
                <w:rFonts w:hint="default" w:ascii="Times New Roman" w:hAnsi="Times New Roman" w:eastAsia="宋体" w:cs="Times New Roman"/>
                <w:sz w:val="21"/>
                <w:szCs w:val="24"/>
                <w:vertAlign w:val="baseline"/>
                <w:lang w:val="en-US" w:eastAsia="zh-CN" w:bidi="ar-SA"/>
              </w:rPr>
            </w:pPr>
            <w:r>
              <w:rPr>
                <w:rFonts w:hint="default" w:ascii="Times New Roman" w:hAnsi="Times New Roman" w:cs="Times New Roman" w:eastAsiaTheme="minorEastAsia"/>
                <w:sz w:val="24"/>
                <w:lang w:val="en-US" w:eastAsia="zh-CN"/>
              </w:rPr>
              <w:t>7</w:t>
            </w:r>
          </w:p>
        </w:tc>
        <w:tc>
          <w:tcPr>
            <w:tcW w:w="3303"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eastAsiaTheme="minorEastAsia"/>
                <w:b w:val="0"/>
                <w:bCs w:val="0"/>
                <w:i w:val="0"/>
                <w:iCs w:val="0"/>
                <w:color w:val="000000"/>
                <w:kern w:val="0"/>
                <w:sz w:val="24"/>
                <w:szCs w:val="24"/>
                <w:u w:val="none"/>
                <w:lang w:val="en-US" w:eastAsia="zh-CN" w:bidi="ar"/>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粤港澳大湾区科技创新建设报告</w:t>
            </w:r>
          </w:p>
        </w:tc>
        <w:tc>
          <w:tcPr>
            <w:tcW w:w="3270" w:type="dxa"/>
            <w:vMerge w:val="continue"/>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eastAsiaTheme="minorEastAsia"/>
                <w:b w:val="0"/>
                <w:bCs w:val="0"/>
                <w:i w:val="0"/>
                <w:iCs w:val="0"/>
                <w:color w:val="000000"/>
                <w:kern w:val="0"/>
                <w:sz w:val="24"/>
                <w:szCs w:val="24"/>
                <w:u w:val="none"/>
                <w:lang w:val="en-US" w:eastAsia="zh-CN" w:bidi="ar"/>
              </w:rPr>
            </w:pPr>
          </w:p>
        </w:tc>
        <w:tc>
          <w:tcPr>
            <w:tcW w:w="12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28"/>
              <w:widowControl w:val="0"/>
              <w:adjustRightInd w:val="0"/>
              <w:snapToGrid w:val="0"/>
              <w:spacing w:line="240" w:lineRule="auto"/>
              <w:rPr>
                <w:rFonts w:hint="default" w:ascii="Times New Roman" w:hAnsi="Times New Roman" w:eastAsia="宋体" w:cs="Times New Roman"/>
                <w:sz w:val="21"/>
                <w:szCs w:val="24"/>
                <w:vertAlign w:val="baseline"/>
                <w:lang w:val="en-US" w:eastAsia="zh-CN" w:bidi="ar-SA"/>
              </w:rPr>
            </w:pPr>
            <w:r>
              <w:rPr>
                <w:rFonts w:hint="default" w:ascii="Times New Roman" w:hAnsi="Times New Roman" w:cs="Times New Roman" w:eastAsiaTheme="minorEastAsia"/>
                <w:sz w:val="24"/>
                <w:lang w:val="en-US" w:eastAsia="zh-CN"/>
              </w:rPr>
              <w:t>8</w:t>
            </w:r>
          </w:p>
        </w:tc>
        <w:tc>
          <w:tcPr>
            <w:tcW w:w="3303"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eastAsiaTheme="minorEastAsia"/>
                <w:color w:val="000000"/>
                <w:kern w:val="0"/>
                <w:szCs w:val="24"/>
                <w:lang w:bidi="ar"/>
              </w:rPr>
            </w:pPr>
            <w:r>
              <w:rPr>
                <w:rFonts w:hint="default" w:ascii="Times New Roman" w:hAnsi="Times New Roman" w:cs="Times New Roman" w:eastAsiaTheme="minorEastAsia"/>
                <w:color w:val="000000"/>
                <w:kern w:val="0"/>
                <w:szCs w:val="24"/>
                <w:lang w:eastAsia="zh-CN" w:bidi="ar"/>
              </w:rPr>
              <w:t>迈向新征程的</w:t>
            </w:r>
            <w:r>
              <w:rPr>
                <w:rFonts w:hint="default" w:ascii="Times New Roman" w:hAnsi="Times New Roman" w:cs="Times New Roman" w:eastAsiaTheme="minorEastAsia"/>
                <w:color w:val="000000"/>
                <w:kern w:val="0"/>
                <w:szCs w:val="24"/>
                <w:lang w:bidi="ar"/>
              </w:rPr>
              <w:t>广东区域</w:t>
            </w:r>
          </w:p>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eastAsiaTheme="minorEastAsia"/>
                <w:b w:val="0"/>
                <w:bCs w:val="0"/>
                <w:i w:val="0"/>
                <w:iCs w:val="0"/>
                <w:color w:val="000000"/>
                <w:kern w:val="0"/>
                <w:sz w:val="24"/>
                <w:szCs w:val="24"/>
                <w:u w:val="none"/>
                <w:lang w:val="en-US" w:eastAsia="zh-CN" w:bidi="ar"/>
              </w:rPr>
            </w:pPr>
            <w:r>
              <w:rPr>
                <w:rFonts w:hint="default" w:ascii="Times New Roman" w:hAnsi="Times New Roman" w:cs="Times New Roman" w:eastAsiaTheme="minorEastAsia"/>
                <w:color w:val="000000"/>
                <w:kern w:val="0"/>
                <w:szCs w:val="24"/>
                <w:lang w:eastAsia="zh-CN" w:bidi="ar"/>
              </w:rPr>
              <w:t>经济</w:t>
            </w:r>
            <w:r>
              <w:rPr>
                <w:rFonts w:hint="default" w:ascii="Times New Roman" w:hAnsi="Times New Roman" w:cs="Times New Roman" w:eastAsiaTheme="minorEastAsia"/>
                <w:color w:val="000000"/>
                <w:kern w:val="0"/>
                <w:szCs w:val="24"/>
                <w:lang w:bidi="ar"/>
              </w:rPr>
              <w:t>协调发展</w:t>
            </w:r>
          </w:p>
        </w:tc>
        <w:tc>
          <w:tcPr>
            <w:tcW w:w="3270" w:type="dxa"/>
            <w:vMerge w:val="restart"/>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eastAsiaTheme="minorEastAsia"/>
                <w:b w:val="0"/>
                <w:bCs w:val="0"/>
                <w:i w:val="0"/>
                <w:iCs w:val="0"/>
                <w:color w:val="000000"/>
                <w:kern w:val="0"/>
                <w:sz w:val="24"/>
                <w:szCs w:val="24"/>
                <w:u w:val="none"/>
                <w:lang w:val="en-US" w:eastAsia="zh-CN" w:bidi="ar"/>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《中国区域经济发展报告（2022-2023）》</w:t>
            </w:r>
          </w:p>
        </w:tc>
        <w:tc>
          <w:tcPr>
            <w:tcW w:w="12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28"/>
              <w:widowControl w:val="0"/>
              <w:adjustRightInd w:val="0"/>
              <w:snapToGrid w:val="0"/>
              <w:spacing w:line="240" w:lineRule="auto"/>
              <w:rPr>
                <w:rFonts w:hint="default" w:ascii="Times New Roman" w:hAnsi="Times New Roman" w:eastAsia="宋体" w:cs="Times New Roman"/>
                <w:sz w:val="21"/>
                <w:szCs w:val="24"/>
                <w:vertAlign w:val="baseline"/>
                <w:lang w:val="en-US" w:eastAsia="zh-CN" w:bidi="ar-SA"/>
              </w:rPr>
            </w:pPr>
            <w:r>
              <w:rPr>
                <w:rFonts w:hint="default" w:ascii="Times New Roman" w:hAnsi="Times New Roman" w:cs="Times New Roman" w:eastAsiaTheme="minorEastAsia"/>
                <w:sz w:val="24"/>
                <w:lang w:val="en-US" w:eastAsia="zh-CN"/>
              </w:rPr>
              <w:t>9</w:t>
            </w:r>
          </w:p>
        </w:tc>
        <w:tc>
          <w:tcPr>
            <w:tcW w:w="3303"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eastAsiaTheme="minorEastAsia"/>
                <w:color w:val="000000"/>
                <w:kern w:val="0"/>
                <w:sz w:val="24"/>
                <w:szCs w:val="24"/>
                <w:lang w:val="en-US" w:eastAsia="zh-CN" w:bidi="ar"/>
              </w:rPr>
            </w:pPr>
            <w:r>
              <w:rPr>
                <w:rFonts w:hint="default" w:ascii="Times New Roman" w:hAnsi="Times New Roman" w:cs="Times New Roman" w:eastAsiaTheme="minorEastAsia"/>
                <w:color w:val="000000"/>
                <w:kern w:val="0"/>
                <w:szCs w:val="24"/>
                <w:lang w:eastAsia="zh-CN" w:bidi="ar"/>
              </w:rPr>
              <w:t>粤港澳大湾区文化圈发展格局特征及优化路径研究</w:t>
            </w:r>
          </w:p>
        </w:tc>
        <w:tc>
          <w:tcPr>
            <w:tcW w:w="3270" w:type="dxa"/>
            <w:vMerge w:val="continue"/>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eastAsiaTheme="minorEastAsia"/>
                <w:b w:val="0"/>
                <w:bCs w:val="0"/>
                <w:i w:val="0"/>
                <w:iCs w:val="0"/>
                <w:color w:val="000000"/>
                <w:kern w:val="0"/>
                <w:sz w:val="24"/>
                <w:szCs w:val="24"/>
                <w:u w:val="none"/>
                <w:lang w:val="en-US" w:eastAsia="zh-CN" w:bidi="ar"/>
              </w:rPr>
            </w:pPr>
          </w:p>
        </w:tc>
        <w:tc>
          <w:tcPr>
            <w:tcW w:w="12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28"/>
              <w:widowControl w:val="0"/>
              <w:adjustRightInd w:val="0"/>
              <w:snapToGrid w:val="0"/>
              <w:spacing w:line="240" w:lineRule="auto"/>
              <w:rPr>
                <w:rFonts w:hint="default" w:ascii="Times New Roman" w:hAnsi="Times New Roman" w:eastAsia="宋体" w:cs="Times New Roman"/>
                <w:sz w:val="21"/>
                <w:szCs w:val="24"/>
                <w:vertAlign w:val="baseline"/>
                <w:lang w:val="en-US" w:eastAsia="zh-CN" w:bidi="ar-SA"/>
              </w:rPr>
            </w:pPr>
            <w:r>
              <w:rPr>
                <w:rFonts w:hint="default" w:ascii="Times New Roman" w:hAnsi="Times New Roman" w:cs="Times New Roman" w:eastAsiaTheme="minorEastAsia"/>
                <w:sz w:val="24"/>
                <w:lang w:val="en-US" w:eastAsia="zh-CN"/>
              </w:rPr>
              <w:t>10</w:t>
            </w:r>
          </w:p>
        </w:tc>
        <w:tc>
          <w:tcPr>
            <w:tcW w:w="3303"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vertAlign w:val="baseli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创新3.0视域下的粤港澳文创产业协同发展研究</w:t>
            </w:r>
          </w:p>
        </w:tc>
        <w:tc>
          <w:tcPr>
            <w:tcW w:w="3270"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vertAlign w:val="baseli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《中国区域经济发展报告（2023-2024）》</w:t>
            </w:r>
          </w:p>
        </w:tc>
        <w:tc>
          <w:tcPr>
            <w:tcW w:w="12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28"/>
              <w:widowControl w:val="0"/>
              <w:adjustRightInd w:val="0"/>
              <w:snapToGrid w:val="0"/>
              <w:spacing w:line="240" w:lineRule="auto"/>
              <w:rPr>
                <w:rFonts w:hint="default" w:ascii="Times New Roman" w:hAnsi="Times New Roman" w:eastAsia="宋体" w:cs="Times New Roman"/>
                <w:sz w:val="21"/>
                <w:szCs w:val="24"/>
                <w:vertAlign w:val="baseline"/>
                <w:lang w:val="en-US" w:eastAsia="zh-CN" w:bidi="ar-SA"/>
              </w:rPr>
            </w:pPr>
            <w:r>
              <w:rPr>
                <w:rFonts w:hint="default" w:ascii="Times New Roman" w:hAnsi="Times New Roman" w:cs="Times New Roman" w:eastAsiaTheme="minorEastAsia"/>
                <w:sz w:val="24"/>
                <w:lang w:val="en-US" w:eastAsia="zh-CN"/>
              </w:rPr>
              <w:t>11</w:t>
            </w:r>
          </w:p>
        </w:tc>
        <w:tc>
          <w:tcPr>
            <w:tcW w:w="3303"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vertAlign w:val="baseli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粤港澳大湾区数字交易的实践探索</w:t>
            </w:r>
          </w:p>
        </w:tc>
        <w:tc>
          <w:tcPr>
            <w:tcW w:w="3270"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vertAlign w:val="baseli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粤港澳大湾区产业运营若干研究</w:t>
            </w:r>
          </w:p>
        </w:tc>
        <w:tc>
          <w:tcPr>
            <w:tcW w:w="124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r>
              <w:rPr>
                <w:rFonts w:hint="default" w:ascii="Times New Roman" w:hAnsi="Times New Roman" w:cs="Times New Roman"/>
                <w:vertAlign w:val="baseline"/>
                <w:lang w:val="en-US" w:eastAsia="zh-CN"/>
              </w:rPr>
              <w:t>专著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28"/>
              <w:widowControl w:val="0"/>
              <w:adjustRightInd w:val="0"/>
              <w:snapToGrid w:val="0"/>
              <w:spacing w:line="240" w:lineRule="auto"/>
              <w:rPr>
                <w:rFonts w:hint="default" w:ascii="Times New Roman" w:hAnsi="Times New Roman" w:cs="Times New Roman" w:eastAsiaTheme="minorEastAsia"/>
                <w:sz w:val="24"/>
                <w:szCs w:val="24"/>
                <w:lang w:val="en-US" w:eastAsia="zh-CN" w:bidi="ar-SA"/>
              </w:rPr>
            </w:pPr>
            <w:r>
              <w:rPr>
                <w:rFonts w:hint="default" w:ascii="Times New Roman" w:hAnsi="Times New Roman" w:cs="Times New Roman" w:eastAsiaTheme="minorEastAsia"/>
                <w:sz w:val="24"/>
                <w:lang w:val="en-US" w:eastAsia="zh-CN"/>
              </w:rPr>
              <w:t>12</w:t>
            </w:r>
          </w:p>
        </w:tc>
        <w:tc>
          <w:tcPr>
            <w:tcW w:w="3303"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vertAlign w:val="baseli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广东省</w:t>
            </w:r>
            <w:r>
              <w:rPr>
                <w:rFonts w:hint="eastAsia" w:ascii="Times New Roman" w:hAnsi="Times New Roman" w:cs="Times New Roman" w:eastAsiaTheme="minorEastAsia"/>
                <w:b w:val="0"/>
                <w:bCs w:val="0"/>
                <w:i w:val="0"/>
                <w:iCs w:val="0"/>
                <w:color w:val="000000"/>
                <w:kern w:val="0"/>
                <w:sz w:val="24"/>
                <w:szCs w:val="24"/>
                <w:u w:val="none"/>
                <w:lang w:val="en-US" w:eastAsia="zh-CN" w:bidi="ar"/>
              </w:rPr>
              <w:t>“</w:t>
            </w:r>
            <w:r>
              <w:rPr>
                <w:rFonts w:hint="default" w:ascii="Times New Roman" w:hAnsi="Times New Roman" w:cs="Times New Roman" w:eastAsiaTheme="minorEastAsia"/>
                <w:b w:val="0"/>
                <w:bCs w:val="0"/>
                <w:i w:val="0"/>
                <w:iCs w:val="0"/>
                <w:color w:val="000000"/>
                <w:kern w:val="0"/>
                <w:sz w:val="24"/>
                <w:szCs w:val="24"/>
                <w:u w:val="none"/>
                <w:lang w:val="en-US" w:eastAsia="zh-CN" w:bidi="ar"/>
              </w:rPr>
              <w:t>十四五</w:t>
            </w:r>
            <w:r>
              <w:rPr>
                <w:rFonts w:hint="eastAsia" w:ascii="Times New Roman" w:hAnsi="Times New Roman" w:cs="Times New Roman" w:eastAsiaTheme="minorEastAsia"/>
                <w:b w:val="0"/>
                <w:bCs w:val="0"/>
                <w:i w:val="0"/>
                <w:iCs w:val="0"/>
                <w:color w:val="000000"/>
                <w:kern w:val="0"/>
                <w:sz w:val="24"/>
                <w:szCs w:val="24"/>
                <w:u w:val="none"/>
                <w:lang w:val="en-US" w:eastAsia="zh-CN" w:bidi="ar"/>
              </w:rPr>
              <w:t>”</w:t>
            </w:r>
            <w:r>
              <w:rPr>
                <w:rFonts w:hint="default" w:ascii="Times New Roman" w:hAnsi="Times New Roman" w:cs="Times New Roman" w:eastAsiaTheme="minorEastAsia"/>
                <w:b w:val="0"/>
                <w:bCs w:val="0"/>
                <w:i w:val="0"/>
                <w:iCs w:val="0"/>
                <w:color w:val="000000"/>
                <w:kern w:val="0"/>
                <w:sz w:val="24"/>
                <w:szCs w:val="24"/>
                <w:u w:val="none"/>
                <w:lang w:val="en-US" w:eastAsia="zh-CN" w:bidi="ar"/>
              </w:rPr>
              <w:t>规划纲要第三方中期评估</w:t>
            </w:r>
          </w:p>
        </w:tc>
        <w:tc>
          <w:tcPr>
            <w:tcW w:w="3270"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vertAlign w:val="baseli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广东省发展与改革委员会</w:t>
            </w:r>
          </w:p>
        </w:tc>
        <w:tc>
          <w:tcPr>
            <w:tcW w:w="124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r>
              <w:rPr>
                <w:rFonts w:hint="default" w:ascii="Times New Roman" w:hAnsi="Times New Roman" w:cs="Times New Roman"/>
                <w:vertAlign w:val="baseline"/>
                <w:lang w:val="en-US" w:eastAsia="zh-CN"/>
              </w:rPr>
              <w:t>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28"/>
              <w:widowControl w:val="0"/>
              <w:adjustRightInd w:val="0"/>
              <w:snapToGrid w:val="0"/>
              <w:spacing w:line="240" w:lineRule="auto"/>
              <w:rPr>
                <w:rFonts w:hint="default" w:ascii="Times New Roman" w:hAnsi="Times New Roman" w:eastAsia="宋体" w:cs="Times New Roman"/>
                <w:sz w:val="21"/>
                <w:szCs w:val="24"/>
                <w:vertAlign w:val="baseline"/>
                <w:lang w:val="en-US" w:eastAsia="zh-CN" w:bidi="ar-SA"/>
              </w:rPr>
            </w:pPr>
            <w:r>
              <w:rPr>
                <w:rFonts w:hint="default" w:ascii="Times New Roman" w:hAnsi="Times New Roman" w:cs="Times New Roman" w:eastAsiaTheme="minorEastAsia"/>
                <w:sz w:val="24"/>
                <w:lang w:val="en-US" w:eastAsia="zh-CN"/>
              </w:rPr>
              <w:t>13</w:t>
            </w:r>
          </w:p>
        </w:tc>
        <w:tc>
          <w:tcPr>
            <w:tcW w:w="3303"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vertAlign w:val="baseli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乡村振兴背景下的广东乡村消费研究</w:t>
            </w:r>
          </w:p>
        </w:tc>
        <w:tc>
          <w:tcPr>
            <w:tcW w:w="3270"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vertAlign w:val="baseli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广东消费经济学会</w:t>
            </w:r>
          </w:p>
        </w:tc>
        <w:tc>
          <w:tcPr>
            <w:tcW w:w="1246"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28"/>
              <w:widowControl w:val="0"/>
              <w:adjustRightInd w:val="0"/>
              <w:snapToGrid w:val="0"/>
              <w:spacing w:line="240" w:lineRule="auto"/>
              <w:rPr>
                <w:rFonts w:hint="default" w:ascii="Times New Roman" w:hAnsi="Times New Roman" w:cs="Times New Roman" w:eastAsiaTheme="minorEastAsia"/>
                <w:sz w:val="24"/>
                <w:szCs w:val="24"/>
                <w:lang w:val="en-US" w:eastAsia="zh-CN" w:bidi="ar-SA"/>
              </w:rPr>
            </w:pPr>
            <w:r>
              <w:rPr>
                <w:rFonts w:hint="default" w:ascii="Times New Roman" w:hAnsi="Times New Roman" w:cs="Times New Roman" w:eastAsiaTheme="minorEastAsia"/>
                <w:sz w:val="24"/>
                <w:lang w:val="en-US" w:eastAsia="zh-CN"/>
              </w:rPr>
              <w:t>14</w:t>
            </w:r>
          </w:p>
        </w:tc>
        <w:tc>
          <w:tcPr>
            <w:tcW w:w="3303"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vertAlign w:val="baseli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广东省滨海旅游统计研究</w:t>
            </w:r>
          </w:p>
        </w:tc>
        <w:tc>
          <w:tcPr>
            <w:tcW w:w="3270"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vertAlign w:val="baseli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广东省文化和旅游厅</w:t>
            </w:r>
          </w:p>
        </w:tc>
        <w:tc>
          <w:tcPr>
            <w:tcW w:w="12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28"/>
              <w:widowControl w:val="0"/>
              <w:adjustRightInd w:val="0"/>
              <w:snapToGrid w:val="0"/>
              <w:spacing w:line="240" w:lineRule="auto"/>
              <w:rPr>
                <w:rFonts w:hint="default" w:ascii="Times New Roman" w:hAnsi="Times New Roman" w:eastAsia="宋体" w:cs="Times New Roman"/>
                <w:sz w:val="21"/>
                <w:szCs w:val="24"/>
                <w:vertAlign w:val="baseline"/>
                <w:lang w:val="en-US" w:eastAsia="zh-CN" w:bidi="ar-SA"/>
              </w:rPr>
            </w:pPr>
            <w:r>
              <w:rPr>
                <w:rFonts w:hint="eastAsia" w:cs="Times New Roman" w:eastAsiaTheme="minorEastAsia"/>
                <w:sz w:val="24"/>
                <w:lang w:val="en-US" w:eastAsia="zh-CN"/>
              </w:rPr>
              <w:t>15</w:t>
            </w:r>
          </w:p>
        </w:tc>
        <w:tc>
          <w:tcPr>
            <w:tcW w:w="3303"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vertAlign w:val="baseli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南江流域生态环境保护与高质量发展研究</w:t>
            </w:r>
          </w:p>
        </w:tc>
        <w:tc>
          <w:tcPr>
            <w:tcW w:w="3270" w:type="dxa"/>
            <w:vMerge w:val="restart"/>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vertAlign w:val="baseli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云浮市人民政府</w:t>
            </w:r>
          </w:p>
        </w:tc>
        <w:tc>
          <w:tcPr>
            <w:tcW w:w="12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28"/>
              <w:widowControl w:val="0"/>
              <w:adjustRightInd w:val="0"/>
              <w:snapToGrid w:val="0"/>
              <w:spacing w:line="240" w:lineRule="auto"/>
              <w:rPr>
                <w:rFonts w:hint="default" w:ascii="Times New Roman" w:hAnsi="Times New Roman" w:cs="Times New Roman" w:eastAsiaTheme="minorEastAsia"/>
                <w:sz w:val="24"/>
                <w:szCs w:val="24"/>
                <w:lang w:val="en-US" w:eastAsia="zh-CN" w:bidi="ar-SA"/>
              </w:rPr>
            </w:pPr>
            <w:r>
              <w:rPr>
                <w:rFonts w:hint="eastAsia" w:cs="Times New Roman" w:eastAsiaTheme="minorEastAsia"/>
                <w:sz w:val="24"/>
                <w:lang w:val="en-US" w:eastAsia="zh-CN"/>
              </w:rPr>
              <w:t>16</w:t>
            </w:r>
          </w:p>
        </w:tc>
        <w:tc>
          <w:tcPr>
            <w:tcW w:w="3303" w:type="dxa"/>
            <w:vAlign w:val="center"/>
          </w:tcPr>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eastAsiaTheme="minorEastAsia"/>
                <w:b w:val="0"/>
                <w:bCs w:val="0"/>
                <w:i w:val="0"/>
                <w:iCs w:val="0"/>
                <w:color w:val="000000"/>
                <w:kern w:val="0"/>
                <w:sz w:val="24"/>
                <w:szCs w:val="24"/>
                <w:u w:val="none"/>
                <w:lang w:val="en-US" w:eastAsia="zh-CN" w:bidi="ar"/>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打造新时代文化高地 赋能高质量发展先行示范——新时代云浮特色文化传承发展</w:t>
            </w:r>
          </w:p>
          <w:p>
            <w:pPr>
              <w:keepNext w:val="0"/>
              <w:keepLines w:val="0"/>
              <w:widowControl w:val="0"/>
              <w:suppressLineNumbers w:val="0"/>
              <w:spacing w:line="240" w:lineRule="auto"/>
              <w:ind w:firstLine="0" w:firstLineChars="0"/>
              <w:jc w:val="center"/>
              <w:textAlignment w:val="center"/>
              <w:rPr>
                <w:rFonts w:hint="default" w:ascii="Times New Roman" w:hAnsi="Times New Roman" w:cs="Times New Roman"/>
                <w:vertAlign w:val="baseli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与创新利用研究报告</w:t>
            </w:r>
          </w:p>
        </w:tc>
        <w:tc>
          <w:tcPr>
            <w:tcW w:w="3270" w:type="dxa"/>
            <w:vMerge w:val="continue"/>
            <w:vAlign w:val="center"/>
          </w:tcPr>
          <w:p>
            <w:pPr>
              <w:keepNext w:val="0"/>
              <w:keepLines w:val="0"/>
              <w:widowControl w:val="0"/>
              <w:suppressLineNumbers w:val="0"/>
              <w:spacing w:line="240" w:lineRule="auto"/>
              <w:ind w:firstLine="0" w:firstLineChars="0"/>
              <w:jc w:val="both"/>
              <w:textAlignment w:val="center"/>
              <w:rPr>
                <w:rFonts w:hint="default" w:ascii="Times New Roman" w:hAnsi="Times New Roman" w:cs="Times New Roman"/>
                <w:vertAlign w:val="baseline"/>
              </w:rPr>
            </w:pPr>
          </w:p>
        </w:tc>
        <w:tc>
          <w:tcPr>
            <w:tcW w:w="1246"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28"/>
              <w:widowControl w:val="0"/>
              <w:adjustRightInd w:val="0"/>
              <w:snapToGrid w:val="0"/>
              <w:spacing w:line="240" w:lineRule="auto"/>
              <w:rPr>
                <w:rFonts w:hint="eastAsia" w:cs="Times New Roman" w:eastAsiaTheme="minorEastAsia"/>
                <w:sz w:val="24"/>
                <w:lang w:val="en-US" w:eastAsia="zh-CN"/>
              </w:rPr>
            </w:pPr>
            <w:r>
              <w:rPr>
                <w:rFonts w:hint="eastAsia" w:cs="Times New Roman" w:eastAsiaTheme="minorEastAsia"/>
                <w:sz w:val="24"/>
                <w:lang w:val="en-US" w:eastAsia="zh-CN"/>
              </w:rPr>
              <w:t>17</w:t>
            </w:r>
          </w:p>
        </w:tc>
        <w:tc>
          <w:tcPr>
            <w:tcW w:w="3303" w:type="dxa"/>
            <w:vAlign w:val="center"/>
          </w:tcPr>
          <w:p>
            <w:pPr>
              <w:spacing w:line="240" w:lineRule="auto"/>
              <w:ind w:firstLine="0" w:firstLineChars="0"/>
              <w:jc w:val="center"/>
              <w:textAlignment w:val="auto"/>
              <w:rPr>
                <w:rFonts w:hint="default" w:ascii="Times New Roman" w:hAnsi="Times New Roman" w:cs="Times New Roman" w:eastAsiaTheme="minorEastAsia"/>
                <w:color w:val="000000"/>
                <w:kern w:val="0"/>
                <w:szCs w:val="24"/>
                <w:lang w:bidi="ar"/>
              </w:rPr>
            </w:pPr>
            <w:r>
              <w:rPr>
                <w:rFonts w:hint="eastAsia"/>
                <w:lang w:bidi="ar"/>
              </w:rPr>
              <w:t>汕尾地区“三资”管理的困境与对策研究</w:t>
            </w:r>
          </w:p>
        </w:tc>
        <w:tc>
          <w:tcPr>
            <w:tcW w:w="3270" w:type="dxa"/>
            <w:vMerge w:val="restart"/>
            <w:vAlign w:val="center"/>
          </w:tcPr>
          <w:p>
            <w:pPr>
              <w:spacing w:line="240" w:lineRule="auto"/>
              <w:ind w:firstLine="0" w:firstLineChars="0"/>
              <w:jc w:val="center"/>
              <w:textAlignment w:val="center"/>
              <w:rPr>
                <w:rFonts w:hint="eastAsia" w:ascii="Times New Roman" w:hAnsi="Times New Roman" w:cs="Times New Roman" w:eastAsiaTheme="minorEastAsia"/>
                <w:color w:val="000000"/>
                <w:kern w:val="0"/>
                <w:szCs w:val="24"/>
                <w:lang w:val="en-US" w:eastAsia="zh-CN" w:bidi="ar"/>
              </w:rPr>
            </w:pPr>
            <w:r>
              <w:rPr>
                <w:rFonts w:hint="eastAsia" w:cs="Times New Roman" w:eastAsiaTheme="minorEastAsia"/>
                <w:color w:val="000000"/>
                <w:kern w:val="0"/>
                <w:szCs w:val="24"/>
                <w:lang w:val="en-US" w:eastAsia="zh-CN" w:bidi="ar"/>
              </w:rPr>
              <w:t>汕尾市人民政府</w:t>
            </w:r>
          </w:p>
        </w:tc>
        <w:tc>
          <w:tcPr>
            <w:tcW w:w="1246"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28"/>
              <w:widowControl w:val="0"/>
              <w:adjustRightInd w:val="0"/>
              <w:snapToGrid w:val="0"/>
              <w:spacing w:line="240" w:lineRule="auto"/>
              <w:rPr>
                <w:rFonts w:hint="default" w:cs="Times New Roman" w:eastAsiaTheme="minorEastAsia"/>
                <w:sz w:val="24"/>
                <w:lang w:val="en-US" w:eastAsia="zh-CN"/>
              </w:rPr>
            </w:pPr>
            <w:r>
              <w:rPr>
                <w:rFonts w:hint="eastAsia" w:cs="Times New Roman" w:eastAsiaTheme="minorEastAsia"/>
                <w:sz w:val="24"/>
                <w:lang w:val="en-US" w:eastAsia="zh-CN"/>
              </w:rPr>
              <w:t>18</w:t>
            </w:r>
          </w:p>
        </w:tc>
        <w:tc>
          <w:tcPr>
            <w:tcW w:w="3303" w:type="dxa"/>
            <w:vAlign w:val="center"/>
          </w:tcPr>
          <w:p>
            <w:pPr>
              <w:spacing w:line="240" w:lineRule="auto"/>
              <w:ind w:firstLine="0" w:firstLineChars="0"/>
              <w:jc w:val="center"/>
              <w:textAlignment w:val="auto"/>
              <w:rPr>
                <w:rFonts w:hint="default" w:ascii="Times New Roman" w:hAnsi="Times New Roman" w:cs="Times New Roman" w:eastAsiaTheme="minorEastAsia"/>
                <w:color w:val="000000"/>
                <w:kern w:val="0"/>
                <w:szCs w:val="24"/>
                <w:lang w:bidi="ar"/>
              </w:rPr>
            </w:pPr>
            <w:r>
              <w:rPr>
                <w:rFonts w:hint="eastAsia"/>
                <w:lang w:bidi="ar"/>
              </w:rPr>
              <w:t>汕尾以数字城市建设促进“四数联动”融合发展</w:t>
            </w:r>
          </w:p>
        </w:tc>
        <w:tc>
          <w:tcPr>
            <w:tcW w:w="3270" w:type="dxa"/>
            <w:vMerge w:val="continue"/>
            <w:vAlign w:val="center"/>
          </w:tcPr>
          <w:p>
            <w:pPr>
              <w:spacing w:line="240" w:lineRule="auto"/>
              <w:ind w:firstLine="0" w:firstLineChars="0"/>
              <w:jc w:val="center"/>
              <w:textAlignment w:val="center"/>
              <w:rPr>
                <w:rFonts w:hint="default" w:ascii="Times New Roman" w:hAnsi="Times New Roman" w:cs="Times New Roman" w:eastAsiaTheme="minorEastAsia"/>
                <w:color w:val="000000"/>
                <w:kern w:val="0"/>
                <w:szCs w:val="24"/>
                <w:lang w:bidi="ar"/>
              </w:rPr>
            </w:pPr>
          </w:p>
        </w:tc>
        <w:tc>
          <w:tcPr>
            <w:tcW w:w="1246"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28"/>
              <w:widowControl w:val="0"/>
              <w:adjustRightInd w:val="0"/>
              <w:snapToGrid w:val="0"/>
              <w:spacing w:line="240" w:lineRule="auto"/>
              <w:rPr>
                <w:rFonts w:hint="default" w:ascii="Times New Roman" w:hAnsi="Times New Roman" w:cs="Times New Roman" w:eastAsiaTheme="minorEastAsia"/>
                <w:sz w:val="24"/>
                <w:szCs w:val="24"/>
                <w:lang w:val="en-US" w:eastAsia="zh-CN" w:bidi="ar-SA"/>
              </w:rPr>
            </w:pPr>
            <w:r>
              <w:rPr>
                <w:rFonts w:hint="eastAsia" w:cs="Times New Roman" w:eastAsiaTheme="minorEastAsia"/>
                <w:sz w:val="24"/>
                <w:lang w:val="en-US" w:eastAsia="zh-CN"/>
              </w:rPr>
              <w:t>19</w:t>
            </w:r>
          </w:p>
        </w:tc>
        <w:tc>
          <w:tcPr>
            <w:tcW w:w="3303" w:type="dxa"/>
            <w:vAlign w:val="center"/>
          </w:tcPr>
          <w:p>
            <w:pPr>
              <w:spacing w:line="240" w:lineRule="auto"/>
              <w:ind w:firstLine="0" w:firstLineChars="0"/>
              <w:jc w:val="center"/>
              <w:textAlignment w:val="center"/>
              <w:rPr>
                <w:rFonts w:hint="default" w:ascii="Times New Roman" w:hAnsi="Times New Roman" w:cs="Times New Roman" w:eastAsiaTheme="minorEastAsia"/>
                <w:color w:val="000000"/>
                <w:kern w:val="0"/>
                <w:sz w:val="24"/>
                <w:szCs w:val="24"/>
                <w:lang w:val="en-US" w:eastAsia="zh-CN" w:bidi="ar"/>
              </w:rPr>
            </w:pPr>
            <w:r>
              <w:rPr>
                <w:rFonts w:hint="default" w:ascii="Times New Roman" w:hAnsi="Times New Roman" w:cs="Times New Roman" w:eastAsiaTheme="minorEastAsia"/>
                <w:color w:val="000000"/>
                <w:kern w:val="0"/>
                <w:szCs w:val="24"/>
                <w:lang w:bidi="ar"/>
              </w:rPr>
              <w:t>黄埔区</w:t>
            </w:r>
            <w:r>
              <w:rPr>
                <w:rFonts w:hint="eastAsia" w:cs="Times New Roman" w:eastAsiaTheme="minorEastAsia"/>
                <w:color w:val="000000"/>
                <w:kern w:val="0"/>
                <w:szCs w:val="24"/>
                <w:lang w:eastAsia="zh-CN" w:bidi="ar"/>
              </w:rPr>
              <w:t>“</w:t>
            </w:r>
            <w:r>
              <w:rPr>
                <w:rFonts w:hint="default" w:ascii="Times New Roman" w:hAnsi="Times New Roman" w:cs="Times New Roman" w:eastAsiaTheme="minorEastAsia"/>
                <w:color w:val="000000"/>
                <w:kern w:val="0"/>
                <w:szCs w:val="24"/>
                <w:lang w:bidi="ar"/>
              </w:rPr>
              <w:t>中小企业能办大事</w:t>
            </w:r>
            <w:r>
              <w:rPr>
                <w:rFonts w:hint="eastAsia" w:cs="Times New Roman" w:eastAsiaTheme="minorEastAsia"/>
                <w:color w:val="000000"/>
                <w:kern w:val="0"/>
                <w:szCs w:val="24"/>
                <w:lang w:eastAsia="zh-CN" w:bidi="ar"/>
              </w:rPr>
              <w:t>”</w:t>
            </w:r>
            <w:r>
              <w:rPr>
                <w:rFonts w:hint="default" w:ascii="Times New Roman" w:hAnsi="Times New Roman" w:cs="Times New Roman" w:eastAsiaTheme="minorEastAsia"/>
                <w:color w:val="000000"/>
                <w:kern w:val="0"/>
                <w:szCs w:val="24"/>
                <w:lang w:bidi="ar"/>
              </w:rPr>
              <w:t>调研报告</w:t>
            </w:r>
          </w:p>
        </w:tc>
        <w:tc>
          <w:tcPr>
            <w:tcW w:w="3270" w:type="dxa"/>
            <w:vAlign w:val="center"/>
          </w:tcPr>
          <w:p>
            <w:pPr>
              <w:spacing w:line="240" w:lineRule="auto"/>
              <w:ind w:firstLine="0" w:firstLineChars="0"/>
              <w:jc w:val="center"/>
              <w:textAlignment w:val="center"/>
              <w:rPr>
                <w:rFonts w:hint="default" w:ascii="Times New Roman" w:hAnsi="Times New Roman" w:cs="Times New Roman" w:eastAsiaTheme="minorEastAsia"/>
                <w:color w:val="000000"/>
                <w:kern w:val="0"/>
                <w:sz w:val="24"/>
                <w:szCs w:val="24"/>
                <w:lang w:val="en-US" w:eastAsia="zh-CN" w:bidi="ar"/>
              </w:rPr>
            </w:pPr>
            <w:r>
              <w:rPr>
                <w:rFonts w:hint="default" w:ascii="Times New Roman" w:hAnsi="Times New Roman" w:cs="Times New Roman" w:eastAsiaTheme="minorEastAsia"/>
                <w:color w:val="000000"/>
                <w:kern w:val="0"/>
                <w:szCs w:val="24"/>
                <w:lang w:bidi="ar"/>
              </w:rPr>
              <w:t>广州市黄埔区融媒体中心</w:t>
            </w:r>
          </w:p>
        </w:tc>
        <w:tc>
          <w:tcPr>
            <w:tcW w:w="1246"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vertAlign w:val="baseline"/>
              </w:rPr>
            </w:pPr>
          </w:p>
        </w:tc>
      </w:tr>
    </w:tbl>
    <w:p>
      <w:pPr>
        <w:pStyle w:val="5"/>
        <w:keepNext w:val="0"/>
        <w:keepLines w:val="0"/>
        <w:widowControl w:val="0"/>
        <w:spacing w:before="157" w:beforeLines="50"/>
        <w:ind w:firstLine="560" w:firstLineChars="200"/>
        <w:rPr>
          <w:rFonts w:hint="eastAsia" w:eastAsia="黑体"/>
          <w:color w:val="auto"/>
          <w:lang w:val="en-US" w:eastAsia="zh-Hans"/>
        </w:rPr>
      </w:pPr>
      <w:r>
        <w:rPr>
          <w:rFonts w:hint="eastAsia"/>
          <w:color w:val="auto"/>
          <w:lang w:val="en-US" w:eastAsia="zh-CN"/>
        </w:rPr>
        <w:t>4</w:t>
      </w:r>
      <w:r>
        <w:rPr>
          <w:rFonts w:hint="eastAsia"/>
          <w:color w:val="auto"/>
        </w:rPr>
        <w:t>.</w:t>
      </w:r>
      <w:r>
        <w:rPr>
          <w:rFonts w:hint="eastAsia"/>
          <w:color w:val="auto"/>
          <w:lang w:val="en-US" w:eastAsia="zh-Hans"/>
        </w:rPr>
        <w:t>参加</w:t>
      </w:r>
      <w:r>
        <w:rPr>
          <w:rFonts w:hint="eastAsia"/>
          <w:color w:val="auto"/>
        </w:rPr>
        <w:t>学术交流</w:t>
      </w:r>
      <w:r>
        <w:rPr>
          <w:rFonts w:hint="eastAsia"/>
          <w:color w:val="auto"/>
          <w:lang w:val="en-US" w:eastAsia="zh-Hans"/>
        </w:rPr>
        <w:t>情况</w:t>
      </w:r>
    </w:p>
    <w:p>
      <w:pPr>
        <w:spacing w:after="157" w:afterLines="50"/>
        <w:ind w:firstLine="480"/>
        <w:rPr>
          <w:rFonts w:hint="eastAsia"/>
          <w:color w:val="auto"/>
        </w:rPr>
      </w:pPr>
      <w:r>
        <w:rPr>
          <w:rFonts w:hint="eastAsia"/>
        </w:rPr>
        <w:t>本学位点历来注重</w:t>
      </w:r>
      <w:r>
        <w:rPr>
          <w:rFonts w:hint="eastAsia"/>
          <w:lang w:val="en-US" w:eastAsia="zh-CN"/>
        </w:rPr>
        <w:t>鼓励</w:t>
      </w:r>
      <w:r>
        <w:rPr>
          <w:rFonts w:hint="eastAsia"/>
        </w:rPr>
        <w:t>学生</w:t>
      </w:r>
      <w:r>
        <w:rPr>
          <w:rFonts w:hint="eastAsia"/>
          <w:lang w:val="en-US" w:eastAsia="zh-Hans"/>
        </w:rPr>
        <w:t>积极</w:t>
      </w:r>
      <w:r>
        <w:rPr>
          <w:rFonts w:hint="eastAsia"/>
        </w:rPr>
        <w:t>参与院内外学术交流。一</w:t>
      </w:r>
      <w:r>
        <w:rPr>
          <w:rFonts w:hint="eastAsia"/>
          <w:lang w:val="en-US" w:eastAsia="zh-CN"/>
        </w:rPr>
        <w:t>方面，社科院</w:t>
      </w:r>
      <w:r>
        <w:rPr>
          <w:rFonts w:hint="eastAsia"/>
        </w:rPr>
        <w:t>主办、承办的学术会议均对本学位点研究生全面开放</w:t>
      </w:r>
      <w:r>
        <w:rPr>
          <w:rFonts w:hint="eastAsia"/>
          <w:lang w:eastAsia="zh-CN"/>
        </w:rPr>
        <w:t>。</w:t>
      </w:r>
      <w:r>
        <w:rPr>
          <w:rFonts w:hint="eastAsia"/>
        </w:rPr>
        <w:t>例如</w:t>
      </w:r>
      <w:r>
        <w:rPr>
          <w:rFonts w:hint="eastAsia"/>
          <w:lang w:val="en-US" w:eastAsia="zh-CN"/>
        </w:rPr>
        <w:t>针对全院师生开设的</w:t>
      </w:r>
      <w:r>
        <w:rPr>
          <w:rFonts w:hint="eastAsia"/>
          <w:highlight w:val="none"/>
        </w:rPr>
        <w:t>“学海大讲堂”系列讲座，</w:t>
      </w:r>
      <w:r>
        <w:rPr>
          <w:rFonts w:hint="eastAsia"/>
          <w:highlight w:val="none"/>
          <w:lang w:val="en-US" w:eastAsia="zh-CN"/>
        </w:rPr>
        <w:t>2023年共</w:t>
      </w:r>
      <w:r>
        <w:rPr>
          <w:rFonts w:hint="eastAsia"/>
          <w:highlight w:val="none"/>
        </w:rPr>
        <w:t>邀请学术名家主讲“厚德”、“博学”、“经世”、“笃行”讲座24场</w:t>
      </w:r>
      <w:r>
        <w:rPr>
          <w:rFonts w:hint="eastAsia"/>
        </w:rPr>
        <w:t>。</w:t>
      </w:r>
      <w:r>
        <w:rPr>
          <w:rFonts w:hint="eastAsia"/>
          <w:color w:val="auto"/>
          <w:lang w:val="en-US" w:eastAsia="zh-CN"/>
        </w:rPr>
        <w:t>另一方面，</w:t>
      </w:r>
      <w:r>
        <w:rPr>
          <w:rFonts w:hint="eastAsia"/>
          <w:color w:val="auto"/>
        </w:rPr>
        <w:t>鼓励研究生</w:t>
      </w:r>
      <w:r>
        <w:rPr>
          <w:rFonts w:hint="eastAsia"/>
          <w:color w:val="auto"/>
          <w:lang w:val="en-US" w:eastAsia="zh-Hans"/>
        </w:rPr>
        <w:t>深度</w:t>
      </w:r>
      <w:r>
        <w:rPr>
          <w:rFonts w:hint="eastAsia"/>
          <w:color w:val="auto"/>
        </w:rPr>
        <w:t>参与院外线上线下各类学术会议</w:t>
      </w:r>
      <w:r>
        <w:rPr>
          <w:rFonts w:hint="eastAsia"/>
          <w:color w:val="auto"/>
          <w:lang w:val="en-US" w:eastAsia="zh-CN"/>
        </w:rPr>
        <w:t>和竞赛，在检验学习成效的同时，进一步促进研究生科研方法训练、学术素质培养和学术交流能力提升</w:t>
      </w:r>
      <w:r>
        <w:rPr>
          <w:rFonts w:hint="eastAsia"/>
          <w:color w:val="auto"/>
        </w:rPr>
        <w:t>。</w:t>
      </w:r>
    </w:p>
    <w:p>
      <w:pPr>
        <w:spacing w:after="157" w:afterLines="50"/>
        <w:ind w:firstLine="0" w:firstLineChars="0"/>
        <w:jc w:val="center"/>
        <w:outlineLvl w:val="9"/>
        <w:rPr>
          <w:rFonts w:hint="eastAsia"/>
          <w:b/>
          <w:bCs/>
          <w:color w:val="auto"/>
          <w:lang w:val="en-US" w:eastAsia="zh-CN"/>
        </w:rPr>
      </w:pPr>
      <w:r>
        <w:rPr>
          <w:rFonts w:hint="eastAsia"/>
          <w:b/>
          <w:bCs/>
          <w:color w:val="auto"/>
          <w:lang w:val="en-US" w:eastAsia="zh-CN"/>
        </w:rPr>
        <w:t>表6  学生参加本领域国内外重要学术会议情况</w:t>
      </w:r>
    </w:p>
    <w:tbl>
      <w:tblPr>
        <w:tblStyle w:val="16"/>
        <w:tblW w:w="480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
        <w:gridCol w:w="2894"/>
        <w:gridCol w:w="3265"/>
        <w:gridCol w:w="1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序号</w:t>
            </w:r>
          </w:p>
        </w:tc>
        <w:tc>
          <w:tcPr>
            <w:tcW w:w="17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会议名称</w:t>
            </w:r>
          </w:p>
        </w:tc>
        <w:tc>
          <w:tcPr>
            <w:tcW w:w="19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报告题目</w:t>
            </w:r>
          </w:p>
        </w:tc>
        <w:tc>
          <w:tcPr>
            <w:tcW w:w="7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报告地点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w:t>
            </w:r>
          </w:p>
        </w:tc>
        <w:tc>
          <w:tcPr>
            <w:tcW w:w="17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2023粤港澳大湾区学术研讨会</w:t>
            </w:r>
          </w:p>
        </w:tc>
        <w:tc>
          <w:tcPr>
            <w:tcW w:w="19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粤港澳大湾区信息流空间网络格局的构建机制研究</w:t>
            </w:r>
          </w:p>
        </w:tc>
        <w:tc>
          <w:tcPr>
            <w:tcW w:w="7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广州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w:t>
            </w:r>
          </w:p>
        </w:tc>
        <w:tc>
          <w:tcPr>
            <w:tcW w:w="17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2023 Asian Meeting of the Econometric Society in East and Southeast Asia</w:t>
            </w:r>
          </w:p>
        </w:tc>
        <w:tc>
          <w:tcPr>
            <w:tcW w:w="19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Can China's Carbon Emission Trading System Promote Green Innovation? Empirical Analysis Based on a Staggered DID Approach</w:t>
            </w:r>
          </w:p>
        </w:tc>
        <w:tc>
          <w:tcPr>
            <w:tcW w:w="7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新加坡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cs="Times New Roman"/>
                <w:i w:val="0"/>
                <w:iCs w:val="0"/>
                <w:color w:val="auto"/>
                <w:kern w:val="0"/>
                <w:sz w:val="24"/>
                <w:szCs w:val="24"/>
                <w:u w:val="none"/>
                <w:lang w:val="en-US" w:eastAsia="zh-CN" w:bidi="ar"/>
              </w:rPr>
              <w:t>3</w:t>
            </w:r>
          </w:p>
        </w:tc>
        <w:tc>
          <w:tcPr>
            <w:tcW w:w="28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生态文明天府论坛·建设人与自然和谐共生的美丽中国学术研讨会</w:t>
            </w:r>
          </w:p>
        </w:tc>
        <w:tc>
          <w:tcPr>
            <w:tcW w:w="3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ascii="Times New Roman" w:hAnsi="Times New Roman" w:cs="Times New Roman"/>
                <w:i w:val="0"/>
                <w:iCs w:val="0"/>
                <w:color w:val="auto"/>
                <w:kern w:val="0"/>
                <w:sz w:val="24"/>
                <w:szCs w:val="24"/>
                <w:u w:val="none"/>
                <w:lang w:val="en-US" w:eastAsia="zh-CN" w:bidi="ar"/>
              </w:rPr>
              <w:t>“</w:t>
            </w:r>
            <w:r>
              <w:rPr>
                <w:rFonts w:hint="default" w:ascii="Times New Roman" w:hAnsi="Times New Roman" w:eastAsia="宋体" w:cs="Times New Roman"/>
                <w:i w:val="0"/>
                <w:iCs w:val="0"/>
                <w:color w:val="auto"/>
                <w:kern w:val="0"/>
                <w:sz w:val="24"/>
                <w:szCs w:val="24"/>
                <w:u w:val="none"/>
                <w:lang w:val="en-US" w:eastAsia="zh-CN" w:bidi="ar"/>
              </w:rPr>
              <w:t>两山理论</w:t>
            </w:r>
            <w:r>
              <w:rPr>
                <w:rFonts w:hint="eastAsia" w:ascii="Times New Roman" w:hAnsi="Times New Roman" w:cs="Times New Roman"/>
                <w:i w:val="0"/>
                <w:iCs w:val="0"/>
                <w:color w:val="auto"/>
                <w:kern w:val="0"/>
                <w:sz w:val="24"/>
                <w:szCs w:val="24"/>
                <w:u w:val="none"/>
                <w:lang w:val="en-US" w:eastAsia="zh-CN" w:bidi="ar"/>
              </w:rPr>
              <w:t>”</w:t>
            </w:r>
            <w:r>
              <w:rPr>
                <w:rFonts w:hint="default" w:ascii="Times New Roman" w:hAnsi="Times New Roman" w:eastAsia="宋体" w:cs="Times New Roman"/>
                <w:i w:val="0"/>
                <w:iCs w:val="0"/>
                <w:color w:val="auto"/>
                <w:kern w:val="0"/>
                <w:sz w:val="24"/>
                <w:szCs w:val="24"/>
                <w:u w:val="none"/>
                <w:lang w:val="en-US" w:eastAsia="zh-CN" w:bidi="ar"/>
              </w:rPr>
              <w:t>与森林</w:t>
            </w:r>
            <w:r>
              <w:rPr>
                <w:rFonts w:hint="eastAsia" w:ascii="Times New Roman" w:hAnsi="Times New Roman" w:cs="Times New Roman"/>
                <w:i w:val="0"/>
                <w:iCs w:val="0"/>
                <w:color w:val="auto"/>
                <w:kern w:val="0"/>
                <w:sz w:val="24"/>
                <w:szCs w:val="24"/>
                <w:u w:val="none"/>
                <w:lang w:val="en-US" w:eastAsia="zh-CN" w:bidi="ar"/>
              </w:rPr>
              <w:t>“</w:t>
            </w:r>
            <w:r>
              <w:rPr>
                <w:rFonts w:hint="default" w:ascii="Times New Roman" w:hAnsi="Times New Roman" w:eastAsia="宋体" w:cs="Times New Roman"/>
                <w:i w:val="0"/>
                <w:iCs w:val="0"/>
                <w:color w:val="auto"/>
                <w:kern w:val="0"/>
                <w:sz w:val="24"/>
                <w:szCs w:val="24"/>
                <w:u w:val="none"/>
                <w:lang w:val="en-US" w:eastAsia="zh-CN" w:bidi="ar"/>
              </w:rPr>
              <w:t>四库</w:t>
            </w:r>
            <w:r>
              <w:rPr>
                <w:rFonts w:hint="eastAsia" w:ascii="Times New Roman" w:hAnsi="Times New Roman" w:cs="Times New Roman"/>
                <w:i w:val="0"/>
                <w:iCs w:val="0"/>
                <w:color w:val="auto"/>
                <w:kern w:val="0"/>
                <w:sz w:val="24"/>
                <w:szCs w:val="24"/>
                <w:u w:val="none"/>
                <w:lang w:val="en-US" w:eastAsia="zh-CN" w:bidi="ar"/>
              </w:rPr>
              <w:t>”</w:t>
            </w:r>
            <w:r>
              <w:rPr>
                <w:rFonts w:hint="default" w:ascii="Times New Roman" w:hAnsi="Times New Roman" w:eastAsia="宋体" w:cs="Times New Roman"/>
                <w:i w:val="0"/>
                <w:iCs w:val="0"/>
                <w:color w:val="auto"/>
                <w:kern w:val="0"/>
                <w:sz w:val="24"/>
                <w:szCs w:val="24"/>
                <w:u w:val="none"/>
                <w:lang w:val="en-US" w:eastAsia="zh-CN" w:bidi="ar"/>
              </w:rPr>
              <w:t>的辩证关系——兼论南岭国家公园高质量发展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cs="Times New Roman"/>
                <w:i w:val="0"/>
                <w:iCs w:val="0"/>
                <w:color w:val="auto"/>
                <w:kern w:val="0"/>
                <w:sz w:val="24"/>
                <w:szCs w:val="24"/>
                <w:u w:val="none"/>
                <w:lang w:val="en-US" w:eastAsia="zh-CN" w:bidi="ar"/>
              </w:rPr>
              <w:t>四川广元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cs="Times New Roman"/>
                <w:i w:val="0"/>
                <w:iCs w:val="0"/>
                <w:color w:val="auto"/>
                <w:kern w:val="0"/>
                <w:sz w:val="24"/>
                <w:szCs w:val="24"/>
                <w:u w:val="none"/>
                <w:lang w:val="en-US" w:eastAsia="zh-CN" w:bidi="ar"/>
              </w:rPr>
              <w:t>4</w:t>
            </w:r>
          </w:p>
        </w:tc>
        <w:tc>
          <w:tcPr>
            <w:tcW w:w="28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第十二届《粤澳合作框架协议》与澳门特区法律问题前瞻学术研讨会</w:t>
            </w:r>
          </w:p>
        </w:tc>
        <w:tc>
          <w:tcPr>
            <w:tcW w:w="3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粤港澳大湾区的制度创新与治理能力现代化建设</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cs="Times New Roman"/>
                <w:i w:val="0"/>
                <w:iCs w:val="0"/>
                <w:color w:val="auto"/>
                <w:kern w:val="0"/>
                <w:sz w:val="24"/>
                <w:szCs w:val="24"/>
                <w:u w:val="none"/>
                <w:lang w:val="en-US" w:eastAsia="zh-CN" w:bidi="ar"/>
              </w:rPr>
              <w:t>澳门</w:t>
            </w:r>
          </w:p>
        </w:tc>
      </w:tr>
    </w:tbl>
    <w:p>
      <w:pPr>
        <w:spacing w:before="313" w:beforeLines="100" w:after="157" w:afterLines="50"/>
        <w:ind w:firstLine="0" w:firstLineChars="0"/>
        <w:jc w:val="center"/>
        <w:outlineLvl w:val="9"/>
        <w:rPr>
          <w:rFonts w:hint="default"/>
          <w:b/>
          <w:bCs/>
          <w:color w:val="auto"/>
          <w:lang w:val="en-US" w:eastAsia="zh-CN"/>
        </w:rPr>
      </w:pPr>
      <w:r>
        <w:rPr>
          <w:rFonts w:hint="eastAsia"/>
          <w:b/>
          <w:bCs/>
          <w:color w:val="auto"/>
          <w:lang w:val="en-US" w:eastAsia="zh-CN"/>
        </w:rPr>
        <w:t xml:space="preserve">表7  </w:t>
      </w:r>
      <w:r>
        <w:rPr>
          <w:rFonts w:hint="default"/>
          <w:b/>
          <w:bCs/>
          <w:color w:val="auto"/>
          <w:lang w:val="en-US" w:eastAsia="zh-CN"/>
        </w:rPr>
        <w:t>学生国内外竞赛获奖项目</w:t>
      </w:r>
    </w:p>
    <w:tbl>
      <w:tblPr>
        <w:tblStyle w:val="16"/>
        <w:tblW w:w="481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5"/>
        <w:gridCol w:w="2152"/>
        <w:gridCol w:w="1970"/>
        <w:gridCol w:w="1189"/>
        <w:gridCol w:w="2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4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序号</w:t>
            </w:r>
          </w:p>
        </w:tc>
        <w:tc>
          <w:tcPr>
            <w:tcW w:w="13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奖项名称</w:t>
            </w:r>
          </w:p>
        </w:tc>
        <w:tc>
          <w:tcPr>
            <w:tcW w:w="12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获奖作品</w:t>
            </w: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获奖等级</w:t>
            </w:r>
          </w:p>
        </w:tc>
        <w:tc>
          <w:tcPr>
            <w:tcW w:w="13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组织单位名称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4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第二十届中国研究生数学建模竞赛</w:t>
            </w:r>
          </w:p>
        </w:tc>
        <w:tc>
          <w:tcPr>
            <w:tcW w:w="12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区域双碳目标与路径规划研究</w:t>
            </w: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13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中国学位与研究生教育学会、中国科协青少年科技中心</w:t>
            </w:r>
          </w:p>
        </w:tc>
      </w:tr>
    </w:tbl>
    <w:p>
      <w:pPr>
        <w:pStyle w:val="5"/>
        <w:keepNext w:val="0"/>
        <w:keepLines w:val="0"/>
        <w:widowControl w:val="0"/>
        <w:spacing w:before="157" w:beforeLines="50"/>
        <w:ind w:firstLine="560" w:firstLineChars="200"/>
        <w:rPr>
          <w:rFonts w:hint="eastAsia" w:eastAsia="黑体"/>
          <w:color w:val="auto"/>
          <w:lang w:val="en-US" w:eastAsia="zh-Hans"/>
        </w:rPr>
      </w:pPr>
      <w:bookmarkStart w:id="60" w:name="_Toc6208"/>
      <w:r>
        <w:rPr>
          <w:rFonts w:hint="eastAsia"/>
          <w:color w:val="auto"/>
          <w:lang w:val="en-US" w:eastAsia="zh-CN"/>
        </w:rPr>
        <w:t>5</w:t>
      </w:r>
      <w:r>
        <w:rPr>
          <w:rFonts w:hint="eastAsia"/>
          <w:color w:val="auto"/>
        </w:rPr>
        <w:t>.奖</w:t>
      </w:r>
      <w:r>
        <w:rPr>
          <w:rFonts w:hint="eastAsia"/>
          <w:color w:val="auto"/>
          <w:lang w:val="en-US" w:eastAsia="zh-CN"/>
        </w:rPr>
        <w:t>助</w:t>
      </w:r>
      <w:bookmarkEnd w:id="60"/>
      <w:r>
        <w:rPr>
          <w:rFonts w:hint="eastAsia"/>
          <w:color w:val="auto"/>
          <w:lang w:val="en-US" w:eastAsia="zh-CN"/>
        </w:rPr>
        <w:t>体系</w:t>
      </w:r>
      <w:r>
        <w:rPr>
          <w:rFonts w:hint="eastAsia"/>
          <w:color w:val="auto"/>
          <w:lang w:val="en-US" w:eastAsia="zh-Hans"/>
        </w:rPr>
        <w:t>建设情况</w:t>
      </w:r>
    </w:p>
    <w:p>
      <w:pPr>
        <w:ind w:firstLine="480"/>
        <w:rPr>
          <w:rFonts w:hint="eastAsia"/>
        </w:rPr>
      </w:pPr>
      <w:r>
        <w:rPr>
          <w:rFonts w:hint="eastAsia"/>
        </w:rPr>
        <w:t>本学位点</w:t>
      </w:r>
      <w:r>
        <w:rPr>
          <w:rFonts w:hint="eastAsia"/>
          <w:lang w:val="en-US" w:eastAsia="zh-CN"/>
        </w:rPr>
        <w:t>持续</w:t>
      </w:r>
      <w:r>
        <w:rPr>
          <w:rFonts w:hint="eastAsia"/>
        </w:rPr>
        <w:t>完善研究生</w:t>
      </w:r>
      <w:r>
        <w:rPr>
          <w:rFonts w:hint="eastAsia"/>
          <w:lang w:val="en-US" w:eastAsia="zh-CN"/>
        </w:rPr>
        <w:t>培养</w:t>
      </w:r>
      <w:r>
        <w:rPr>
          <w:rFonts w:hint="eastAsia"/>
        </w:rPr>
        <w:t>的长效保障机制和内在激励机制，坚持以人为本，精准资助，旨在培养德才兼备、具有</w:t>
      </w:r>
      <w:r>
        <w:rPr>
          <w:rFonts w:hint="eastAsia"/>
          <w:lang w:val="en-US" w:eastAsia="zh-CN"/>
        </w:rPr>
        <w:t>科研</w:t>
      </w:r>
      <w:r>
        <w:rPr>
          <w:rFonts w:hint="eastAsia"/>
        </w:rPr>
        <w:t>创新能力、诚实守信的高素质研究生</w:t>
      </w:r>
      <w:r>
        <w:rPr>
          <w:rFonts w:hint="eastAsia"/>
          <w:lang w:eastAsia="zh-CN"/>
        </w:rPr>
        <w:t>。</w:t>
      </w:r>
      <w:r>
        <w:rPr>
          <w:rFonts w:hint="eastAsia"/>
        </w:rPr>
        <w:t>奖助体系由奖学金</w:t>
      </w:r>
      <w:r>
        <w:rPr>
          <w:rFonts w:hint="eastAsia"/>
          <w:lang w:eastAsia="zh-CN"/>
        </w:rPr>
        <w:t>、</w:t>
      </w:r>
      <w:r>
        <w:rPr>
          <w:rFonts w:hint="eastAsia"/>
          <w:lang w:val="en-US" w:eastAsia="zh-CN"/>
        </w:rPr>
        <w:t>助</w:t>
      </w:r>
      <w:r>
        <w:rPr>
          <w:rFonts w:hint="eastAsia"/>
        </w:rPr>
        <w:t>学金和荣誉奖励两部分组成。</w:t>
      </w:r>
      <w:r>
        <w:rPr>
          <w:rFonts w:hint="eastAsia"/>
          <w:lang w:val="en-US" w:eastAsia="zh-CN"/>
        </w:rPr>
        <w:t>目前，</w:t>
      </w:r>
      <w:r>
        <w:rPr>
          <w:rFonts w:hint="eastAsia"/>
        </w:rPr>
        <w:t>研究生奖助学体系制度化、体系化基本建成，评审规范</w:t>
      </w:r>
      <w:r>
        <w:rPr>
          <w:rFonts w:hint="eastAsia"/>
          <w:lang w:val="en-US" w:eastAsia="zh-Hans"/>
        </w:rPr>
        <w:t>科学</w:t>
      </w:r>
      <w:r>
        <w:rPr>
          <w:rFonts w:hint="eastAsia"/>
        </w:rPr>
        <w:t>有序。</w:t>
      </w:r>
    </w:p>
    <w:p>
      <w:pPr>
        <w:ind w:firstLine="480"/>
        <w:outlineLvl w:val="3"/>
        <w:rPr>
          <w:rFonts w:hint="default" w:eastAsia="宋体"/>
          <w:lang w:val="en-US" w:eastAsia="zh-Hans"/>
        </w:rPr>
      </w:pPr>
      <w:r>
        <w:rPr>
          <w:rFonts w:hint="eastAsia"/>
          <w:b/>
          <w:bCs/>
          <w:lang w:eastAsia="zh-CN"/>
        </w:rPr>
        <w:t>（</w:t>
      </w:r>
      <w:r>
        <w:rPr>
          <w:rFonts w:hint="eastAsia"/>
          <w:b/>
          <w:bCs/>
          <w:lang w:val="en-US" w:eastAsia="zh-CN"/>
        </w:rPr>
        <w:t>1</w:t>
      </w:r>
      <w:r>
        <w:rPr>
          <w:rFonts w:hint="eastAsia"/>
          <w:b/>
          <w:bCs/>
          <w:lang w:eastAsia="zh-CN"/>
        </w:rPr>
        <w:t>）</w:t>
      </w:r>
      <w:r>
        <w:rPr>
          <w:rFonts w:hint="eastAsia"/>
          <w:b/>
          <w:bCs/>
        </w:rPr>
        <w:t>奖</w:t>
      </w:r>
      <w:r>
        <w:rPr>
          <w:rFonts w:hint="default"/>
          <w:b/>
          <w:bCs/>
        </w:rPr>
        <w:t>、</w:t>
      </w:r>
      <w:r>
        <w:rPr>
          <w:rFonts w:hint="eastAsia"/>
          <w:b/>
          <w:bCs/>
          <w:lang w:val="en-US" w:eastAsia="zh-CN"/>
        </w:rPr>
        <w:t>助</w:t>
      </w:r>
      <w:r>
        <w:rPr>
          <w:rFonts w:hint="eastAsia"/>
          <w:b/>
          <w:bCs/>
        </w:rPr>
        <w:t>学金</w:t>
      </w:r>
      <w:r>
        <w:rPr>
          <w:rFonts w:hint="eastAsia"/>
          <w:b/>
          <w:bCs/>
          <w:lang w:val="en-US" w:eastAsia="zh-Hans"/>
        </w:rPr>
        <w:t>获得情况</w:t>
      </w:r>
    </w:p>
    <w:p>
      <w:pPr>
        <w:ind w:firstLine="480"/>
        <w:rPr>
          <w:rFonts w:hint="eastAsia" w:eastAsia="宋体"/>
          <w:lang w:val="en-US" w:eastAsia="zh-CN"/>
        </w:rPr>
      </w:pPr>
      <w:r>
        <w:rPr>
          <w:rFonts w:hint="eastAsia"/>
        </w:rPr>
        <w:t>奖学金分为学业奖学金和国家奖学金。学业奖学金要求符合条件的研究生100%覆盖，实际覆盖面超过98%；设立一等奖、二等奖、三等奖共计三个档次，奖励标准分别为10000元、6000元和4000元，评选办法参见我院研究生管理制度文件《广东省社会科学院学业奖学金评选暂行办法》。</w:t>
      </w:r>
      <w:r>
        <w:rPr>
          <w:rFonts w:hint="eastAsia"/>
          <w:highlight w:val="none"/>
          <w:lang w:val="en-US" w:eastAsia="zh-CN"/>
        </w:rPr>
        <w:t>2023年，本学位点共有4名学生获得</w:t>
      </w:r>
      <w:r>
        <w:rPr>
          <w:rFonts w:hint="eastAsia"/>
          <w:highlight w:val="none"/>
        </w:rPr>
        <w:t>一等奖</w:t>
      </w:r>
      <w:r>
        <w:rPr>
          <w:rFonts w:hint="eastAsia"/>
          <w:highlight w:val="none"/>
          <w:lang w:eastAsia="zh-CN"/>
        </w:rPr>
        <w:t>，</w:t>
      </w:r>
      <w:r>
        <w:rPr>
          <w:rFonts w:hint="eastAsia"/>
          <w:highlight w:val="none"/>
          <w:lang w:val="en-US" w:eastAsia="zh-CN"/>
        </w:rPr>
        <w:t>15名学生获得</w:t>
      </w:r>
      <w:r>
        <w:rPr>
          <w:rFonts w:hint="eastAsia"/>
          <w:highlight w:val="none"/>
        </w:rPr>
        <w:t>二等奖</w:t>
      </w:r>
      <w:r>
        <w:rPr>
          <w:rFonts w:hint="eastAsia"/>
          <w:highlight w:val="none"/>
          <w:lang w:eastAsia="zh-CN"/>
        </w:rPr>
        <w:t>，</w:t>
      </w:r>
      <w:r>
        <w:rPr>
          <w:rFonts w:hint="eastAsia"/>
          <w:highlight w:val="none"/>
          <w:lang w:val="en-US" w:eastAsia="zh-CN"/>
        </w:rPr>
        <w:t>10名学生获得</w:t>
      </w:r>
      <w:r>
        <w:rPr>
          <w:rFonts w:hint="eastAsia"/>
          <w:highlight w:val="none"/>
        </w:rPr>
        <w:t>三等奖</w:t>
      </w:r>
      <w:r>
        <w:rPr>
          <w:rFonts w:hint="eastAsia"/>
          <w:lang w:eastAsia="zh-CN"/>
        </w:rPr>
        <w:t>。</w:t>
      </w:r>
    </w:p>
    <w:p>
      <w:pPr>
        <w:ind w:firstLine="480"/>
        <w:rPr>
          <w:rFonts w:hint="eastAsia"/>
          <w:highlight w:val="none"/>
          <w:lang w:val="en-US" w:eastAsia="zh-CN"/>
        </w:rPr>
      </w:pPr>
      <w:r>
        <w:rPr>
          <w:rFonts w:hint="eastAsia"/>
        </w:rPr>
        <w:t>国家奖学金额度较高，每名奖金2万元，每年推荐2名优秀研究生申请国家奖学金，评选办法参见《国家奖学金评选试行办法》。</w:t>
      </w:r>
      <w:r>
        <w:rPr>
          <w:rFonts w:hint="eastAsia"/>
          <w:highlight w:val="none"/>
          <w:lang w:val="en-US" w:eastAsia="zh-CN"/>
        </w:rPr>
        <w:t>2023年国家奖学金均由本学位点学生获得。</w:t>
      </w:r>
    </w:p>
    <w:p>
      <w:pPr>
        <w:spacing w:before="0" w:beforeLines="0" w:after="157" w:afterLines="50"/>
        <w:ind w:firstLine="0" w:firstLineChars="0"/>
        <w:jc w:val="center"/>
        <w:outlineLvl w:val="9"/>
        <w:rPr>
          <w:rFonts w:hint="eastAsia"/>
          <w:b/>
          <w:bCs/>
          <w:color w:val="auto"/>
        </w:rPr>
      </w:pPr>
      <w:r>
        <w:rPr>
          <w:rFonts w:hint="eastAsia"/>
          <w:b/>
          <w:bCs/>
          <w:color w:val="auto"/>
        </w:rPr>
        <w:t>表</w:t>
      </w:r>
      <w:r>
        <w:rPr>
          <w:rFonts w:hint="eastAsia"/>
          <w:b/>
          <w:bCs/>
          <w:color w:val="auto"/>
          <w:lang w:eastAsia="zh-CN"/>
        </w:rPr>
        <w:t>8</w:t>
      </w:r>
      <w:r>
        <w:rPr>
          <w:rFonts w:hint="eastAsia"/>
          <w:b/>
          <w:bCs/>
          <w:color w:val="auto"/>
          <w:lang w:val="en-US" w:eastAsia="zh-CN"/>
        </w:rPr>
        <w:t xml:space="preserve">  </w:t>
      </w:r>
      <w:r>
        <w:rPr>
          <w:rFonts w:hint="eastAsia"/>
          <w:b/>
          <w:bCs/>
          <w:color w:val="auto"/>
        </w:rPr>
        <w:t>202</w:t>
      </w:r>
      <w:r>
        <w:rPr>
          <w:rFonts w:hint="eastAsia"/>
          <w:b/>
          <w:bCs/>
          <w:color w:val="auto"/>
          <w:lang w:eastAsia="zh-CN"/>
        </w:rPr>
        <w:t>3</w:t>
      </w:r>
      <w:r>
        <w:rPr>
          <w:rFonts w:hint="eastAsia"/>
          <w:b/>
          <w:bCs/>
          <w:color w:val="auto"/>
        </w:rPr>
        <w:t>年本学位点研究生获奖学金、助学金情况表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2767"/>
        <w:gridCol w:w="1891"/>
        <w:gridCol w:w="1256"/>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0" w:type="dxa"/>
            <w:gridSpan w:val="2"/>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4"/>
                <w:u w:val="single"/>
              </w:rPr>
            </w:pPr>
            <w:r>
              <w:rPr>
                <w:rFonts w:hint="default" w:ascii="Times New Roman" w:hAnsi="Times New Roman" w:cs="Times New Roman"/>
                <w:b/>
                <w:bCs/>
                <w:sz w:val="24"/>
                <w:u w:val="none"/>
              </w:rPr>
              <w:t>奖</w:t>
            </w:r>
            <w:r>
              <w:rPr>
                <w:rFonts w:hint="default" w:ascii="Times New Roman" w:hAnsi="Times New Roman" w:cs="Times New Roman"/>
                <w:b/>
                <w:bCs/>
                <w:sz w:val="24"/>
                <w:u w:val="none"/>
                <w:lang w:val="en-US" w:eastAsia="zh-CN"/>
              </w:rPr>
              <w:t>助</w:t>
            </w:r>
            <w:r>
              <w:rPr>
                <w:rFonts w:hint="default" w:ascii="Times New Roman" w:hAnsi="Times New Roman" w:cs="Times New Roman"/>
                <w:b/>
                <w:bCs/>
                <w:sz w:val="24"/>
                <w:u w:val="none"/>
              </w:rPr>
              <w:t>学金类别</w:t>
            </w:r>
          </w:p>
        </w:tc>
        <w:tc>
          <w:tcPr>
            <w:tcW w:w="1891"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4"/>
                <w:u w:val="single"/>
              </w:rPr>
            </w:pPr>
            <w:r>
              <w:rPr>
                <w:rFonts w:hint="default" w:ascii="Times New Roman" w:hAnsi="Times New Roman" w:cs="Times New Roman"/>
                <w:b/>
                <w:bCs/>
                <w:sz w:val="24"/>
                <w:u w:val="none"/>
              </w:rPr>
              <w:t>金 额（元）</w:t>
            </w:r>
          </w:p>
        </w:tc>
        <w:tc>
          <w:tcPr>
            <w:tcW w:w="1256"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4"/>
                <w:u w:val="single"/>
              </w:rPr>
            </w:pPr>
            <w:r>
              <w:rPr>
                <w:rFonts w:hint="default" w:ascii="Times New Roman" w:hAnsi="Times New Roman" w:cs="Times New Roman"/>
                <w:b/>
                <w:bCs/>
                <w:sz w:val="24"/>
                <w:u w:val="none"/>
              </w:rPr>
              <w:t>人 数</w:t>
            </w:r>
          </w:p>
        </w:tc>
        <w:tc>
          <w:tcPr>
            <w:tcW w:w="1302"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4"/>
                <w:u w:val="single"/>
              </w:rPr>
            </w:pPr>
            <w:r>
              <w:rPr>
                <w:rFonts w:hint="default" w:ascii="Times New Roman" w:hAnsi="Times New Roman" w:cs="Times New Roman"/>
                <w:b/>
                <w:bCs/>
                <w:sz w:val="24"/>
                <w:u w:val="none"/>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vMerge w:val="restart"/>
            <w:noWrap w:val="0"/>
            <w:vAlign w:val="center"/>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奖学金</w:t>
            </w:r>
          </w:p>
        </w:tc>
        <w:tc>
          <w:tcPr>
            <w:tcW w:w="2767"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国家奖学金</w:t>
            </w:r>
          </w:p>
        </w:tc>
        <w:tc>
          <w:tcPr>
            <w:tcW w:w="1891"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20000</w:t>
            </w:r>
          </w:p>
        </w:tc>
        <w:tc>
          <w:tcPr>
            <w:tcW w:w="1256"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4"/>
                <w:lang w:eastAsia="zh-CN"/>
              </w:rPr>
            </w:pPr>
            <w:r>
              <w:rPr>
                <w:rFonts w:hint="default" w:ascii="Times New Roman" w:hAnsi="Times New Roman" w:cs="Times New Roman"/>
                <w:sz w:val="24"/>
                <w:lang w:val="en-US" w:eastAsia="zh-CN"/>
              </w:rPr>
              <w:t>2</w:t>
            </w:r>
          </w:p>
        </w:tc>
        <w:tc>
          <w:tcPr>
            <w:tcW w:w="1302"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vMerge w:val="continue"/>
            <w:noWrap w:val="0"/>
            <w:vAlign w:val="center"/>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p>
        </w:tc>
        <w:tc>
          <w:tcPr>
            <w:tcW w:w="2767"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学业奖学金一等奖</w:t>
            </w:r>
          </w:p>
        </w:tc>
        <w:tc>
          <w:tcPr>
            <w:tcW w:w="1891"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10000</w:t>
            </w:r>
          </w:p>
        </w:tc>
        <w:tc>
          <w:tcPr>
            <w:tcW w:w="1256"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4"/>
                <w:lang w:eastAsia="zh-CN"/>
              </w:rPr>
            </w:pPr>
            <w:r>
              <w:rPr>
                <w:rFonts w:hint="default" w:ascii="Times New Roman" w:hAnsi="Times New Roman" w:cs="Times New Roman"/>
                <w:sz w:val="24"/>
                <w:lang w:val="en-US" w:eastAsia="zh-CN"/>
              </w:rPr>
              <w:t>4</w:t>
            </w:r>
          </w:p>
        </w:tc>
        <w:tc>
          <w:tcPr>
            <w:tcW w:w="1302"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vMerge w:val="continue"/>
            <w:noWrap w:val="0"/>
            <w:vAlign w:val="center"/>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p>
        </w:tc>
        <w:tc>
          <w:tcPr>
            <w:tcW w:w="2767"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学业奖学金二等奖</w:t>
            </w:r>
          </w:p>
        </w:tc>
        <w:tc>
          <w:tcPr>
            <w:tcW w:w="1891"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6000</w:t>
            </w:r>
          </w:p>
        </w:tc>
        <w:tc>
          <w:tcPr>
            <w:tcW w:w="1256"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15</w:t>
            </w:r>
          </w:p>
        </w:tc>
        <w:tc>
          <w:tcPr>
            <w:tcW w:w="1302"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lang w:eastAsia="zh-CN"/>
              </w:rPr>
              <w:t>9</w:t>
            </w:r>
            <w:r>
              <w:rPr>
                <w:rFonts w:hint="default" w:ascii="Times New Roman" w:hAnsi="Times New Roman" w:cs="Times New Roman"/>
                <w:sz w:val="24"/>
                <w:lang w:val="en-US" w:eastAsia="zh-CN"/>
              </w:rPr>
              <w:t>0</w:t>
            </w:r>
            <w:r>
              <w:rPr>
                <w:rFonts w:hint="default" w:ascii="Times New Roman" w:hAnsi="Times New Roman" w:cs="Times New Roman"/>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vMerge w:val="continue"/>
            <w:noWrap w:val="0"/>
            <w:vAlign w:val="center"/>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p>
        </w:tc>
        <w:tc>
          <w:tcPr>
            <w:tcW w:w="2767"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学业奖学金三等奖</w:t>
            </w:r>
          </w:p>
        </w:tc>
        <w:tc>
          <w:tcPr>
            <w:tcW w:w="1891"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4000</w:t>
            </w:r>
          </w:p>
        </w:tc>
        <w:tc>
          <w:tcPr>
            <w:tcW w:w="1256"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lang w:eastAsia="zh-CN"/>
              </w:rPr>
              <w:t>1</w:t>
            </w:r>
            <w:r>
              <w:rPr>
                <w:rFonts w:hint="default" w:ascii="Times New Roman" w:hAnsi="Times New Roman" w:cs="Times New Roman"/>
                <w:sz w:val="24"/>
                <w:lang w:val="en-US" w:eastAsia="zh-CN"/>
              </w:rPr>
              <w:t>0</w:t>
            </w:r>
          </w:p>
        </w:tc>
        <w:tc>
          <w:tcPr>
            <w:tcW w:w="1302"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lang w:eastAsia="zh-CN"/>
              </w:rPr>
              <w:t>4</w:t>
            </w:r>
            <w:r>
              <w:rPr>
                <w:rFonts w:hint="default" w:ascii="Times New Roman" w:hAnsi="Times New Roman" w:cs="Times New Roman"/>
                <w:sz w:val="24"/>
                <w:lang w:val="en-US" w:eastAsia="zh-CN"/>
              </w:rPr>
              <w:t>0</w:t>
            </w:r>
            <w:r>
              <w:rPr>
                <w:rFonts w:hint="default" w:ascii="Times New Roman" w:hAnsi="Times New Roman" w:cs="Times New Roman"/>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noWrap w:val="0"/>
            <w:vAlign w:val="center"/>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助学金</w:t>
            </w:r>
          </w:p>
        </w:tc>
        <w:tc>
          <w:tcPr>
            <w:tcW w:w="2767"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助学金</w:t>
            </w:r>
          </w:p>
        </w:tc>
        <w:tc>
          <w:tcPr>
            <w:tcW w:w="1891"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900/人/月</w:t>
            </w:r>
          </w:p>
        </w:tc>
        <w:tc>
          <w:tcPr>
            <w:tcW w:w="1256"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39</w:t>
            </w:r>
          </w:p>
        </w:tc>
        <w:tc>
          <w:tcPr>
            <w:tcW w:w="1302" w:type="dxa"/>
            <w:noWrap w:val="0"/>
            <w:vAlign w:val="top"/>
          </w:tcPr>
          <w:p>
            <w:pPr>
              <w:pStyle w:val="28"/>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rPr>
            </w:pPr>
            <w:r>
              <w:rPr>
                <w:rFonts w:hint="default" w:ascii="Times New Roman" w:hAnsi="Times New Roman" w:cs="Times New Roman"/>
                <w:sz w:val="24"/>
              </w:rPr>
              <w:t>295200</w:t>
            </w:r>
          </w:p>
        </w:tc>
      </w:tr>
    </w:tbl>
    <w:p>
      <w:pPr>
        <w:spacing w:before="157" w:beforeLines="50"/>
        <w:ind w:firstLine="480"/>
        <w:outlineLvl w:val="3"/>
        <w:rPr>
          <w:rFonts w:hint="default" w:eastAsia="宋体"/>
          <w:b/>
          <w:bCs/>
          <w:lang w:val="en-US" w:eastAsia="zh-Hans"/>
        </w:rPr>
      </w:pPr>
      <w:r>
        <w:rPr>
          <w:rFonts w:hint="eastAsia"/>
          <w:b/>
          <w:bCs/>
          <w:lang w:eastAsia="zh-CN"/>
        </w:rPr>
        <w:t>（</w:t>
      </w:r>
      <w:r>
        <w:rPr>
          <w:rFonts w:hint="eastAsia"/>
          <w:b/>
          <w:bCs/>
          <w:lang w:val="en-US" w:eastAsia="zh-CN"/>
        </w:rPr>
        <w:t>2</w:t>
      </w:r>
      <w:r>
        <w:rPr>
          <w:rFonts w:hint="eastAsia"/>
          <w:b/>
          <w:bCs/>
          <w:lang w:eastAsia="zh-CN"/>
        </w:rPr>
        <w:t>）</w:t>
      </w:r>
      <w:r>
        <w:rPr>
          <w:rFonts w:hint="eastAsia"/>
          <w:b/>
          <w:bCs/>
        </w:rPr>
        <w:t>荣誉奖励</w:t>
      </w:r>
      <w:r>
        <w:rPr>
          <w:rFonts w:hint="eastAsia"/>
          <w:b/>
          <w:bCs/>
          <w:lang w:val="en-US" w:eastAsia="zh-Hans"/>
        </w:rPr>
        <w:t>获得情况</w:t>
      </w:r>
    </w:p>
    <w:p>
      <w:pPr>
        <w:ind w:firstLine="480"/>
        <w:rPr>
          <w:rFonts w:hint="default" w:eastAsia="宋体"/>
          <w:lang w:val="en-US" w:eastAsia="zh-CN"/>
        </w:rPr>
      </w:pPr>
      <w:r>
        <w:rPr>
          <w:rFonts w:hint="eastAsia"/>
        </w:rPr>
        <w:t>荣誉奖励包括研究生荣誉称号和研究生优秀成果奖。研究生荣誉称号指二、三年级可以参评的优秀研究生、优秀学生干部和优秀学生党员。优秀研究生按各年级学生总数的30%评选，优秀学生干部按学生干部总数的50%评选，每生每年300元，获得的荣誉称号和奖励可以叠加。</w:t>
      </w:r>
      <w:r>
        <w:rPr>
          <w:rFonts w:hint="eastAsia"/>
          <w:highlight w:val="none"/>
          <w:lang w:val="en-US" w:eastAsia="zh-CN"/>
        </w:rPr>
        <w:t>2023年，本学位点共有8名学生获得优秀研究生，1名学生获得优秀学生干部。</w:t>
      </w:r>
    </w:p>
    <w:p>
      <w:pPr>
        <w:spacing w:after="157" w:afterLines="50"/>
        <w:ind w:firstLine="480"/>
        <w:rPr>
          <w:rFonts w:hint="default" w:eastAsia="宋体"/>
          <w:lang w:val="en-US" w:eastAsia="zh-CN"/>
        </w:rPr>
      </w:pPr>
      <w:r>
        <w:rPr>
          <w:rFonts w:hint="eastAsia"/>
        </w:rPr>
        <w:t>研究生优秀成果奖包括院级优秀学位论文奖、广东省优秀学位论文奖、广东省优秀研究生奖和考取博士奖，分别奖励1000元/人、3000元/人、3000元/人和1000元/人。对于培养研究生获得成果奖的导师同样给予培养奖荣誉，并发放等额奖金，评选依据详见《关于设置“硕士学位论文抽检优秀奖”等奖项的暂行办法》。</w:t>
      </w:r>
      <w:r>
        <w:rPr>
          <w:rFonts w:hint="eastAsia"/>
          <w:highlight w:val="none"/>
          <w:lang w:val="en-US" w:eastAsia="zh-CN"/>
        </w:rPr>
        <w:t>2023年，本学位点共有1名学生获得院级优秀学位论文奖。</w:t>
      </w:r>
    </w:p>
    <w:p>
      <w:pPr>
        <w:pStyle w:val="4"/>
        <w:keepNext w:val="0"/>
        <w:keepLines w:val="0"/>
        <w:widowControl w:val="0"/>
        <w:ind w:firstLine="602" w:firstLineChars="200"/>
        <w:rPr>
          <w:rFonts w:hint="eastAsia"/>
        </w:rPr>
      </w:pPr>
      <w:bookmarkStart w:id="61" w:name="_Toc30473"/>
      <w:bookmarkStart w:id="62" w:name="_Toc11251"/>
      <w:bookmarkStart w:id="63" w:name="_Toc101036328"/>
      <w:bookmarkStart w:id="64" w:name="_Toc12094"/>
      <w:r>
        <w:rPr>
          <w:rFonts w:hint="eastAsia"/>
        </w:rPr>
        <w:t>（三）研究生教育质量</w:t>
      </w:r>
      <w:bookmarkEnd w:id="61"/>
      <w:bookmarkEnd w:id="62"/>
      <w:bookmarkEnd w:id="63"/>
      <w:bookmarkEnd w:id="64"/>
    </w:p>
    <w:p>
      <w:pPr>
        <w:pStyle w:val="5"/>
        <w:keepNext w:val="0"/>
        <w:keepLines w:val="0"/>
        <w:widowControl w:val="0"/>
        <w:ind w:firstLine="560" w:firstLineChars="200"/>
        <w:rPr>
          <w:rFonts w:hint="eastAsia"/>
        </w:rPr>
      </w:pPr>
      <w:bookmarkStart w:id="65" w:name="_Toc31474"/>
      <w:r>
        <w:rPr>
          <w:rFonts w:hint="eastAsia"/>
        </w:rPr>
        <w:t>1.研究生科研成果</w:t>
      </w:r>
      <w:bookmarkEnd w:id="65"/>
    </w:p>
    <w:p>
      <w:pPr>
        <w:ind w:firstLine="480"/>
        <w:rPr>
          <w:rFonts w:hint="eastAsia"/>
          <w:highlight w:val="none"/>
          <w:lang w:val="en-US" w:eastAsia="zh-CN"/>
        </w:rPr>
      </w:pPr>
      <w:r>
        <w:rPr>
          <w:rFonts w:hint="eastAsia"/>
        </w:rPr>
        <w:t>202</w:t>
      </w:r>
      <w:r>
        <w:rPr>
          <w:rFonts w:hint="eastAsia"/>
          <w:lang w:val="en-US" w:eastAsia="zh-CN"/>
        </w:rPr>
        <w:t>3</w:t>
      </w:r>
      <w:r>
        <w:rPr>
          <w:rFonts w:hint="eastAsia"/>
        </w:rPr>
        <w:t>年，本学位点进一步优化“师徒制”培养方式，注重在实践应用中培养研究生</w:t>
      </w:r>
      <w:r>
        <w:rPr>
          <w:rFonts w:hint="eastAsia"/>
          <w:lang w:val="en-US" w:eastAsia="zh-CN"/>
        </w:rPr>
        <w:t>的科研创新能力和</w:t>
      </w:r>
      <w:r>
        <w:rPr>
          <w:rFonts w:hint="eastAsia"/>
        </w:rPr>
        <w:t>决策咨询研究能力。</w:t>
      </w:r>
      <w:r>
        <w:rPr>
          <w:rFonts w:hint="eastAsia"/>
          <w:color w:val="auto"/>
          <w:lang w:val="en-US" w:eastAsia="zh-CN"/>
        </w:rPr>
        <w:t>本学位点</w:t>
      </w:r>
      <w:r>
        <w:rPr>
          <w:rFonts w:hint="eastAsia"/>
        </w:rPr>
        <w:t>学生</w:t>
      </w:r>
      <w:r>
        <w:rPr>
          <w:rFonts w:hint="eastAsia"/>
          <w:lang w:val="en-US" w:eastAsia="zh-Hans"/>
        </w:rPr>
        <w:t>全年</w:t>
      </w:r>
      <w:r>
        <w:rPr>
          <w:rFonts w:hint="eastAsia"/>
        </w:rPr>
        <w:t>发表学</w:t>
      </w:r>
      <w:r>
        <w:rPr>
          <w:rFonts w:hint="eastAsia"/>
          <w:highlight w:val="none"/>
        </w:rPr>
        <w:t>术论文</w:t>
      </w:r>
      <w:r>
        <w:rPr>
          <w:rFonts w:hint="eastAsia"/>
          <w:highlight w:val="none"/>
          <w:lang w:val="en-US" w:eastAsia="zh-CN"/>
        </w:rPr>
        <w:t>18</w:t>
      </w:r>
      <w:r>
        <w:rPr>
          <w:rFonts w:hint="eastAsia"/>
          <w:highlight w:val="none"/>
        </w:rPr>
        <w:t>篇（见表</w:t>
      </w:r>
      <w:r>
        <w:rPr>
          <w:rFonts w:hint="eastAsia"/>
          <w:highlight w:val="none"/>
          <w:lang w:eastAsia="zh-CN"/>
        </w:rPr>
        <w:t>9</w:t>
      </w:r>
      <w:r>
        <w:rPr>
          <w:rFonts w:hint="eastAsia"/>
          <w:highlight w:val="none"/>
        </w:rPr>
        <w:t>），其中</w:t>
      </w:r>
      <w:r>
        <w:rPr>
          <w:rFonts w:hint="eastAsia"/>
          <w:highlight w:val="none"/>
          <w:lang w:val="en-US" w:eastAsia="zh-CN"/>
        </w:rPr>
        <w:t>4</w:t>
      </w:r>
      <w:r>
        <w:rPr>
          <w:rFonts w:hint="eastAsia"/>
          <w:highlight w:val="none"/>
        </w:rPr>
        <w:t>篇</w:t>
      </w:r>
      <w:r>
        <w:rPr>
          <w:rFonts w:hint="eastAsia"/>
          <w:highlight w:val="none"/>
          <w:lang w:val="en-US" w:eastAsia="zh-CN"/>
        </w:rPr>
        <w:t>为</w:t>
      </w:r>
      <w:r>
        <w:rPr>
          <w:rFonts w:hint="eastAsia"/>
          <w:highlight w:val="none"/>
        </w:rPr>
        <w:t>核心论文</w:t>
      </w:r>
      <w:r>
        <w:rPr>
          <w:rFonts w:hint="eastAsia"/>
          <w:highlight w:val="none"/>
          <w:lang w:eastAsia="zh-CN"/>
        </w:rPr>
        <w:t>，</w:t>
      </w:r>
      <w:r>
        <w:rPr>
          <w:rFonts w:hint="eastAsia"/>
          <w:highlight w:val="none"/>
          <w:lang w:val="en-US" w:eastAsia="zh-CN"/>
        </w:rPr>
        <w:t>1篇</w:t>
      </w:r>
      <w:r>
        <w:rPr>
          <w:rFonts w:hint="eastAsia"/>
          <w:highlight w:val="none"/>
          <w:lang w:eastAsia="zh-CN"/>
        </w:rPr>
        <w:t>被《人大复印报刊资料——区域与城市经济》全文转载。</w:t>
      </w:r>
      <w:r>
        <w:rPr>
          <w:rFonts w:hint="eastAsia"/>
          <w:highlight w:val="none"/>
          <w:lang w:val="en-US" w:eastAsia="zh-CN"/>
        </w:rPr>
        <w:t>相较2022年科研成果数量和质量显著提升，论文数量是去年的2倍，核心期刊论文数量增加了3倍。</w:t>
      </w:r>
    </w:p>
    <w:p>
      <w:pPr>
        <w:pStyle w:val="2"/>
        <w:rPr>
          <w:rFonts w:hint="eastAsia"/>
          <w:highlight w:val="none"/>
          <w:lang w:val="en-US" w:eastAsia="zh-CN"/>
        </w:rPr>
      </w:pPr>
    </w:p>
    <w:p>
      <w:pPr>
        <w:pStyle w:val="2"/>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157" w:afterLines="50"/>
        <w:ind w:left="0" w:leftChars="0" w:firstLine="0" w:firstLineChars="0"/>
        <w:jc w:val="center"/>
        <w:textAlignment w:val="auto"/>
        <w:outlineLvl w:val="9"/>
        <w:rPr>
          <w:rFonts w:hint="eastAsia"/>
          <w:b/>
          <w:bCs/>
          <w:color w:val="auto"/>
        </w:rPr>
      </w:pPr>
      <w:r>
        <w:rPr>
          <w:rFonts w:hint="eastAsia"/>
          <w:b/>
          <w:bCs/>
          <w:color w:val="auto"/>
        </w:rPr>
        <w:t>表</w:t>
      </w:r>
      <w:r>
        <w:rPr>
          <w:rFonts w:hint="eastAsia"/>
          <w:b/>
          <w:bCs/>
          <w:color w:val="auto"/>
          <w:lang w:val="en-US" w:eastAsia="zh-CN"/>
        </w:rPr>
        <w:t>9</w:t>
      </w:r>
      <w:r>
        <w:rPr>
          <w:rFonts w:hint="eastAsia"/>
          <w:b/>
          <w:bCs/>
          <w:color w:val="auto"/>
        </w:rPr>
        <w:t xml:space="preserve">  研究生发表论文情况</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4730"/>
        <w:gridCol w:w="1597"/>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trPr>
        <w:tc>
          <w:tcPr>
            <w:tcW w:w="729" w:type="dxa"/>
            <w:vAlign w:val="center"/>
          </w:tcPr>
          <w:p>
            <w:pPr>
              <w:pStyle w:val="28"/>
              <w:keepNext w:val="0"/>
              <w:keepLines w:val="0"/>
              <w:pageBreakBefore w:val="0"/>
              <w:widowControl w:val="0"/>
              <w:kinsoku/>
              <w:wordWrap/>
              <w:overflowPunct/>
              <w:topLinePunct w:val="0"/>
              <w:autoSpaceDE/>
              <w:autoSpaceDN/>
              <w:bidi w:val="0"/>
              <w:adjustRightInd/>
              <w:snapToGrid/>
              <w:spacing w:line="240" w:lineRule="auto"/>
              <w:rPr>
                <w:rFonts w:hint="default" w:ascii="Times New Roman" w:hAnsi="Times New Roman" w:eastAsia="宋体" w:cs="Times New Roman"/>
                <w:b/>
                <w:bCs/>
                <w:color w:val="auto"/>
                <w:sz w:val="24"/>
                <w:szCs w:val="24"/>
                <w:lang w:val="en-US" w:eastAsia="zh-CN" w:bidi="ar-SA"/>
              </w:rPr>
            </w:pPr>
            <w:r>
              <w:rPr>
                <w:rFonts w:hint="default" w:ascii="Times New Roman" w:hAnsi="Times New Roman" w:cs="Times New Roman"/>
                <w:b/>
                <w:bCs/>
                <w:color w:val="auto"/>
                <w:sz w:val="24"/>
              </w:rPr>
              <w:t>序号</w:t>
            </w:r>
          </w:p>
        </w:tc>
        <w:tc>
          <w:tcPr>
            <w:tcW w:w="4730" w:type="dxa"/>
            <w:vAlign w:val="center"/>
          </w:tcPr>
          <w:p>
            <w:pPr>
              <w:pStyle w:val="28"/>
              <w:keepNext w:val="0"/>
              <w:keepLines w:val="0"/>
              <w:pageBreakBefore w:val="0"/>
              <w:widowControl w:val="0"/>
              <w:kinsoku/>
              <w:wordWrap/>
              <w:overflowPunct/>
              <w:topLinePunct w:val="0"/>
              <w:autoSpaceDE/>
              <w:autoSpaceDN/>
              <w:bidi w:val="0"/>
              <w:adjustRightInd/>
              <w:snapToGrid/>
              <w:spacing w:line="240" w:lineRule="auto"/>
              <w:rPr>
                <w:rFonts w:hint="default" w:ascii="Times New Roman" w:hAnsi="Times New Roman" w:eastAsia="宋体" w:cs="Times New Roman"/>
                <w:b/>
                <w:bCs/>
                <w:color w:val="auto"/>
                <w:sz w:val="24"/>
                <w:szCs w:val="24"/>
                <w:lang w:val="en-US" w:eastAsia="zh-CN" w:bidi="ar-SA"/>
              </w:rPr>
            </w:pPr>
            <w:r>
              <w:rPr>
                <w:rFonts w:hint="default" w:ascii="Times New Roman" w:hAnsi="Times New Roman" w:cs="Times New Roman"/>
                <w:b/>
                <w:bCs/>
                <w:color w:val="auto"/>
                <w:sz w:val="24"/>
              </w:rPr>
              <w:t>名称</w:t>
            </w:r>
          </w:p>
        </w:tc>
        <w:tc>
          <w:tcPr>
            <w:tcW w:w="1597" w:type="dxa"/>
            <w:vAlign w:val="center"/>
          </w:tcPr>
          <w:p>
            <w:pPr>
              <w:pStyle w:val="28"/>
              <w:keepNext w:val="0"/>
              <w:keepLines w:val="0"/>
              <w:pageBreakBefore w:val="0"/>
              <w:widowControl w:val="0"/>
              <w:kinsoku/>
              <w:wordWrap/>
              <w:overflowPunct/>
              <w:topLinePunct w:val="0"/>
              <w:autoSpaceDE/>
              <w:autoSpaceDN/>
              <w:bidi w:val="0"/>
              <w:adjustRightInd/>
              <w:snapToGrid/>
              <w:spacing w:line="240" w:lineRule="auto"/>
              <w:rPr>
                <w:rFonts w:hint="default" w:ascii="Times New Roman" w:hAnsi="Times New Roman" w:eastAsia="宋体" w:cs="Times New Roman"/>
                <w:b/>
                <w:bCs/>
                <w:color w:val="auto"/>
                <w:sz w:val="24"/>
                <w:szCs w:val="24"/>
                <w:lang w:val="en-US" w:eastAsia="zh-CN" w:bidi="ar-SA"/>
              </w:rPr>
            </w:pPr>
            <w:r>
              <w:rPr>
                <w:rFonts w:hint="default" w:ascii="Times New Roman" w:hAnsi="Times New Roman" w:cs="Times New Roman"/>
                <w:b/>
                <w:bCs/>
                <w:color w:val="auto"/>
                <w:sz w:val="24"/>
              </w:rPr>
              <w:t>期刊</w:t>
            </w:r>
          </w:p>
        </w:tc>
        <w:tc>
          <w:tcPr>
            <w:tcW w:w="1466" w:type="dxa"/>
            <w:vAlign w:val="center"/>
          </w:tcPr>
          <w:p>
            <w:pPr>
              <w:pStyle w:val="28"/>
              <w:keepNext w:val="0"/>
              <w:keepLines w:val="0"/>
              <w:pageBreakBefore w:val="0"/>
              <w:widowControl w:val="0"/>
              <w:kinsoku/>
              <w:wordWrap/>
              <w:overflowPunct/>
              <w:topLinePunct w:val="0"/>
              <w:autoSpaceDE/>
              <w:autoSpaceDN/>
              <w:bidi w:val="0"/>
              <w:adjustRightInd/>
              <w:snapToGrid/>
              <w:spacing w:line="240" w:lineRule="auto"/>
              <w:rPr>
                <w:rFonts w:hint="default" w:ascii="Times New Roman" w:hAnsi="Times New Roman" w:eastAsia="宋体" w:cs="Times New Roman"/>
                <w:b/>
                <w:bCs/>
                <w:color w:val="auto"/>
                <w:sz w:val="24"/>
                <w:szCs w:val="24"/>
                <w:lang w:val="en-US" w:eastAsia="zh-CN" w:bidi="ar-SA"/>
              </w:rPr>
            </w:pPr>
            <w:r>
              <w:rPr>
                <w:rFonts w:hint="default" w:ascii="Times New Roman" w:hAnsi="Times New Roman" w:cs="Times New Roman"/>
                <w:b/>
                <w:bCs/>
                <w:color w:val="auto"/>
                <w:sz w:val="24"/>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Cs w:val="24"/>
                <w:vertAlign w:val="baseline"/>
                <w:lang w:val="en-US" w:eastAsia="zh-CN"/>
              </w:rPr>
            </w:pPr>
            <w:r>
              <w:rPr>
                <w:rFonts w:hint="default" w:ascii="Times New Roman" w:hAnsi="Times New Roman" w:cs="Times New Roman"/>
                <w:color w:val="auto"/>
                <w:szCs w:val="24"/>
                <w:vertAlign w:val="baseline"/>
                <w:lang w:val="en-US" w:eastAsia="zh-CN"/>
              </w:rPr>
              <w:t>1</w:t>
            </w:r>
          </w:p>
        </w:tc>
        <w:tc>
          <w:tcPr>
            <w:tcW w:w="4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数字技术发展能促进大湾区保险消费吗？</w:t>
            </w:r>
          </w:p>
        </w:tc>
        <w:tc>
          <w:tcPr>
            <w:tcW w:w="1597"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《消费经济》</w:t>
            </w:r>
          </w:p>
        </w:tc>
        <w:tc>
          <w:tcPr>
            <w:tcW w:w="146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CSSCI、北大核心期刊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Cs w:val="24"/>
                <w:vertAlign w:val="baseline"/>
                <w:lang w:val="en-US" w:eastAsia="zh-CN"/>
              </w:rPr>
            </w:pPr>
            <w:r>
              <w:rPr>
                <w:rFonts w:hint="default" w:ascii="Times New Roman" w:hAnsi="Times New Roman" w:cs="Times New Roman"/>
                <w:color w:val="auto"/>
                <w:szCs w:val="24"/>
                <w:vertAlign w:val="baseline"/>
                <w:lang w:val="en-US" w:eastAsia="zh-CN"/>
              </w:rPr>
              <w:t>2</w:t>
            </w:r>
          </w:p>
        </w:tc>
        <w:tc>
          <w:tcPr>
            <w:tcW w:w="4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环境规制、科技创新投入与经济发展质量——来自中国地级市层面的证据</w:t>
            </w:r>
          </w:p>
        </w:tc>
        <w:tc>
          <w:tcPr>
            <w:tcW w:w="1597"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《南方经济》</w:t>
            </w:r>
          </w:p>
        </w:tc>
        <w:tc>
          <w:tcPr>
            <w:tcW w:w="146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CSSCI、北大核心期刊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Cs w:val="24"/>
                <w:vertAlign w:val="baseline"/>
                <w:lang w:val="en-US" w:eastAsia="zh-CN"/>
              </w:rPr>
            </w:pPr>
            <w:r>
              <w:rPr>
                <w:rFonts w:hint="default" w:ascii="Times New Roman" w:hAnsi="Times New Roman" w:cs="Times New Roman"/>
                <w:color w:val="auto"/>
                <w:szCs w:val="24"/>
                <w:vertAlign w:val="baseline"/>
                <w:lang w:val="en-US" w:eastAsia="zh-CN"/>
              </w:rPr>
              <w:t>3</w:t>
            </w:r>
          </w:p>
        </w:tc>
        <w:tc>
          <w:tcPr>
            <w:tcW w:w="4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粤港澳大湾区产业结构与就业结构的协调性研究</w:t>
            </w:r>
          </w:p>
        </w:tc>
        <w:tc>
          <w:tcPr>
            <w:tcW w:w="1597"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《亚太经济》</w:t>
            </w:r>
          </w:p>
        </w:tc>
        <w:tc>
          <w:tcPr>
            <w:tcW w:w="146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CSSCI、北大核心期刊、AMI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Cs w:val="24"/>
                <w:vertAlign w:val="baseline"/>
                <w:lang w:val="en-US" w:eastAsia="zh-CN"/>
              </w:rPr>
            </w:pPr>
            <w:r>
              <w:rPr>
                <w:rFonts w:hint="default" w:ascii="Times New Roman" w:hAnsi="Times New Roman" w:cs="Times New Roman"/>
                <w:color w:val="auto"/>
                <w:szCs w:val="24"/>
                <w:vertAlign w:val="baseline"/>
                <w:lang w:val="en-US" w:eastAsia="zh-CN"/>
              </w:rPr>
              <w:t>4</w:t>
            </w:r>
          </w:p>
        </w:tc>
        <w:tc>
          <w:tcPr>
            <w:tcW w:w="4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物流高质量发展对区域经济的影响—基于广东省地级以上城市的实证分析</w:t>
            </w:r>
          </w:p>
        </w:tc>
        <w:tc>
          <w:tcPr>
            <w:tcW w:w="1597"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《商业经济研究》</w:t>
            </w:r>
          </w:p>
        </w:tc>
        <w:tc>
          <w:tcPr>
            <w:tcW w:w="146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北大核心期刊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color w:val="auto"/>
                <w:szCs w:val="24"/>
                <w:vertAlign w:val="baseline"/>
                <w:lang w:val="en-US" w:eastAsia="zh-CN"/>
              </w:rPr>
            </w:pPr>
            <w:r>
              <w:rPr>
                <w:rFonts w:hint="default" w:ascii="Times New Roman" w:hAnsi="Times New Roman" w:cs="Times New Roman"/>
                <w:color w:val="auto"/>
                <w:szCs w:val="24"/>
                <w:vertAlign w:val="baseline"/>
                <w:lang w:val="en-US" w:eastAsia="zh-CN"/>
              </w:rPr>
              <w:t>5</w:t>
            </w:r>
          </w:p>
        </w:tc>
        <w:tc>
          <w:tcPr>
            <w:tcW w:w="4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0"/>
                <w:sz w:val="24"/>
                <w:szCs w:val="24"/>
                <w:u w:val="none"/>
                <w:lang w:val="en-US" w:eastAsia="zh-CN" w:bidi="ar"/>
              </w:rPr>
            </w:pPr>
            <w:r>
              <w:rPr>
                <w:rFonts w:hint="default" w:ascii="Times New Roman" w:hAnsi="Times New Roman" w:eastAsia="CESI宋体-GB2312" w:cs="Times New Roman"/>
                <w:b w:val="0"/>
                <w:bCs w:val="0"/>
                <w:i w:val="0"/>
                <w:iCs w:val="0"/>
                <w:color w:val="auto"/>
                <w:kern w:val="0"/>
                <w:sz w:val="24"/>
                <w:szCs w:val="24"/>
                <w:u w:val="none"/>
                <w:lang w:val="en-US" w:eastAsia="zh-CN" w:bidi="ar"/>
              </w:rPr>
              <w:t>基于耦合视角的文化与旅游产业融合发展时空演化研究</w:t>
            </w:r>
          </w:p>
        </w:tc>
        <w:tc>
          <w:tcPr>
            <w:tcW w:w="1597"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0"/>
                <w:sz w:val="24"/>
                <w:szCs w:val="24"/>
                <w:u w:val="none"/>
                <w:lang w:val="en-US" w:eastAsia="zh-CN" w:bidi="ar"/>
              </w:rPr>
            </w:pPr>
            <w:r>
              <w:rPr>
                <w:rFonts w:hint="default" w:ascii="Times New Roman" w:hAnsi="Times New Roman" w:eastAsia="CESI宋体-GB2312" w:cs="Times New Roman"/>
                <w:b w:val="0"/>
                <w:bCs w:val="0"/>
                <w:i w:val="0"/>
                <w:iCs w:val="0"/>
                <w:color w:val="auto"/>
                <w:kern w:val="0"/>
                <w:sz w:val="24"/>
                <w:szCs w:val="24"/>
                <w:u w:val="none"/>
                <w:lang w:val="en-US" w:eastAsia="zh-CN" w:bidi="ar"/>
              </w:rPr>
              <w:t>《开发研究》</w:t>
            </w:r>
          </w:p>
        </w:tc>
        <w:tc>
          <w:tcPr>
            <w:tcW w:w="146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0"/>
                <w:sz w:val="24"/>
                <w:szCs w:val="24"/>
                <w:u w:val="none"/>
                <w:lang w:val="en-US" w:eastAsia="zh-CN" w:bidi="ar"/>
              </w:rPr>
            </w:pPr>
            <w:r>
              <w:rPr>
                <w:rFonts w:hint="default" w:ascii="Times New Roman" w:hAnsi="Times New Roman" w:eastAsia="CESI宋体-GB2312" w:cs="Times New Roman"/>
                <w:b w:val="0"/>
                <w:bCs w:val="0"/>
                <w:i w:val="0"/>
                <w:iCs w:val="0"/>
                <w:color w:val="auto"/>
                <w:kern w:val="0"/>
                <w:sz w:val="24"/>
                <w:szCs w:val="24"/>
                <w:u w:val="none"/>
                <w:lang w:val="en-US" w:eastAsia="zh-CN" w:bidi="ar"/>
              </w:rPr>
              <w:t>AMI扩展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Cs w:val="24"/>
                <w:vertAlign w:val="baseline"/>
                <w:lang w:val="en-US" w:eastAsia="zh-CN"/>
              </w:rPr>
            </w:pPr>
            <w:r>
              <w:rPr>
                <w:rFonts w:hint="default" w:ascii="Times New Roman" w:hAnsi="Times New Roman" w:cs="Times New Roman"/>
                <w:color w:val="auto"/>
                <w:szCs w:val="24"/>
                <w:vertAlign w:val="baseline"/>
                <w:lang w:val="en-US" w:eastAsia="zh-CN"/>
              </w:rPr>
              <w:t>6</w:t>
            </w:r>
          </w:p>
        </w:tc>
        <w:tc>
          <w:tcPr>
            <w:tcW w:w="4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粤港澳大湾区要素流通对经济高质量发展的影响机制和实现路径</w:t>
            </w:r>
          </w:p>
        </w:tc>
        <w:tc>
          <w:tcPr>
            <w:tcW w:w="1597"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《新经济》</w:t>
            </w:r>
          </w:p>
        </w:tc>
        <w:tc>
          <w:tcPr>
            <w:tcW w:w="146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 xml:space="preserve">被《人大复印报刊资料——区域与城市经济》全文转载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Cs w:val="24"/>
                <w:vertAlign w:val="baseline"/>
                <w:lang w:val="en-US" w:eastAsia="zh-CN"/>
              </w:rPr>
            </w:pPr>
            <w:r>
              <w:rPr>
                <w:rFonts w:hint="default" w:ascii="Times New Roman" w:hAnsi="Times New Roman" w:cs="Times New Roman"/>
                <w:color w:val="auto"/>
                <w:szCs w:val="24"/>
                <w:vertAlign w:val="baseline"/>
                <w:lang w:val="en-US" w:eastAsia="zh-CN"/>
              </w:rPr>
              <w:t>7</w:t>
            </w:r>
          </w:p>
        </w:tc>
        <w:tc>
          <w:tcPr>
            <w:tcW w:w="4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粤港澳大湾区数字新基建的内在逻辑与实现路径</w:t>
            </w:r>
          </w:p>
        </w:tc>
        <w:tc>
          <w:tcPr>
            <w:tcW w:w="159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《新经济》</w:t>
            </w:r>
          </w:p>
        </w:tc>
        <w:tc>
          <w:tcPr>
            <w:tcW w:w="146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普刊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Cs w:val="24"/>
                <w:vertAlign w:val="baseline"/>
                <w:lang w:val="en-US" w:eastAsia="zh-CN"/>
              </w:rPr>
            </w:pPr>
            <w:r>
              <w:rPr>
                <w:rFonts w:hint="default" w:ascii="Times New Roman" w:hAnsi="Times New Roman" w:cs="Times New Roman"/>
                <w:color w:val="auto"/>
                <w:szCs w:val="24"/>
                <w:vertAlign w:val="baseline"/>
                <w:lang w:val="en-US" w:eastAsia="zh-CN"/>
              </w:rPr>
              <w:t>8</w:t>
            </w:r>
          </w:p>
        </w:tc>
        <w:tc>
          <w:tcPr>
            <w:tcW w:w="4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szCs w:val="24"/>
                <w:vertAlign w:val="baseline"/>
              </w:rPr>
            </w:pPr>
            <w:r>
              <w:rPr>
                <w:rFonts w:hint="default" w:ascii="Times New Roman" w:hAnsi="Times New Roman" w:eastAsia="CESI宋体-GB2312" w:cs="Times New Roman"/>
                <w:b w:val="0"/>
                <w:bCs w:val="0"/>
                <w:i w:val="0"/>
                <w:iCs w:val="0"/>
                <w:color w:val="auto"/>
                <w:kern w:val="0"/>
                <w:sz w:val="24"/>
                <w:szCs w:val="24"/>
                <w:u w:val="none"/>
                <w:lang w:val="en-US" w:eastAsia="zh-CN" w:bidi="ar"/>
              </w:rPr>
              <w:t>粤港澳大湾区金融科技高质量发展的路径研究</w:t>
            </w:r>
          </w:p>
        </w:tc>
        <w:tc>
          <w:tcPr>
            <w:tcW w:w="159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szCs w:val="24"/>
                <w:vertAlign w:val="baseline"/>
              </w:rPr>
            </w:pPr>
          </w:p>
        </w:tc>
        <w:tc>
          <w:tcPr>
            <w:tcW w:w="146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Cs w:val="24"/>
                <w:vertAlign w:val="baseline"/>
                <w:lang w:val="en-US" w:eastAsia="zh-CN"/>
              </w:rPr>
            </w:pPr>
            <w:r>
              <w:rPr>
                <w:rFonts w:hint="default" w:ascii="Times New Roman" w:hAnsi="Times New Roman" w:cs="Times New Roman"/>
                <w:color w:val="auto"/>
                <w:szCs w:val="24"/>
                <w:vertAlign w:val="baseline"/>
                <w:lang w:val="en-US" w:eastAsia="zh-CN"/>
              </w:rPr>
              <w:t>9</w:t>
            </w:r>
          </w:p>
        </w:tc>
        <w:tc>
          <w:tcPr>
            <w:tcW w:w="4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粤港澳大湾区数字经济提升企业生产率的机理与建议</w:t>
            </w:r>
          </w:p>
        </w:tc>
        <w:tc>
          <w:tcPr>
            <w:tcW w:w="159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4"/>
                <w:szCs w:val="24"/>
                <w:vertAlign w:val="baseline"/>
                <w:lang w:val="en-US" w:eastAsia="zh-CN" w:bidi="ar-SA"/>
              </w:rPr>
            </w:pPr>
          </w:p>
        </w:tc>
        <w:tc>
          <w:tcPr>
            <w:tcW w:w="146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Cs w:val="24"/>
                <w:vertAlign w:val="baseline"/>
                <w:lang w:val="en-US" w:eastAsia="zh-CN"/>
              </w:rPr>
            </w:pPr>
            <w:r>
              <w:rPr>
                <w:rFonts w:hint="default" w:ascii="Times New Roman" w:hAnsi="Times New Roman" w:cs="Times New Roman"/>
                <w:color w:val="auto"/>
                <w:szCs w:val="24"/>
                <w:vertAlign w:val="baseline"/>
                <w:lang w:val="en-US" w:eastAsia="zh-CN"/>
              </w:rPr>
              <w:t>10</w:t>
            </w:r>
          </w:p>
        </w:tc>
        <w:tc>
          <w:tcPr>
            <w:tcW w:w="4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szCs w:val="24"/>
                <w:vertAlign w:val="baseline"/>
              </w:rPr>
            </w:pPr>
            <w:r>
              <w:rPr>
                <w:rFonts w:hint="default" w:ascii="Times New Roman" w:hAnsi="Times New Roman" w:eastAsia="CESI宋体-GB2312" w:cs="Times New Roman"/>
                <w:b w:val="0"/>
                <w:bCs w:val="0"/>
                <w:i w:val="0"/>
                <w:iCs w:val="0"/>
                <w:color w:val="auto"/>
                <w:kern w:val="0"/>
                <w:sz w:val="24"/>
                <w:szCs w:val="24"/>
                <w:u w:val="none"/>
                <w:lang w:val="en-US" w:eastAsia="zh-CN" w:bidi="ar"/>
              </w:rPr>
              <w:t>中国碳排放权交易制度的减排效应——基于多期DID和空间杜宾的分析</w:t>
            </w:r>
          </w:p>
        </w:tc>
        <w:tc>
          <w:tcPr>
            <w:tcW w:w="159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szCs w:val="24"/>
                <w:vertAlign w:val="baseline"/>
              </w:rPr>
            </w:pPr>
          </w:p>
        </w:tc>
        <w:tc>
          <w:tcPr>
            <w:tcW w:w="146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cs="Times New Roman"/>
                <w:color w:val="auto"/>
                <w:szCs w:val="24"/>
                <w:vertAlign w:val="baseline"/>
                <w:lang w:val="en-US" w:eastAsia="zh-CN"/>
              </w:rPr>
              <w:t>11</w:t>
            </w:r>
          </w:p>
        </w:tc>
        <w:tc>
          <w:tcPr>
            <w:tcW w:w="4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szCs w:val="24"/>
                <w:vertAlign w:val="baseline"/>
              </w:rPr>
            </w:pPr>
            <w:r>
              <w:rPr>
                <w:rFonts w:hint="default" w:ascii="Times New Roman" w:hAnsi="Times New Roman" w:eastAsia="CESI宋体-GB2312" w:cs="Times New Roman"/>
                <w:b w:val="0"/>
                <w:bCs w:val="0"/>
                <w:i w:val="0"/>
                <w:iCs w:val="0"/>
                <w:color w:val="auto"/>
                <w:kern w:val="0"/>
                <w:sz w:val="24"/>
                <w:szCs w:val="24"/>
                <w:u w:val="none"/>
                <w:lang w:val="en-US" w:eastAsia="zh-CN" w:bidi="ar"/>
              </w:rPr>
              <w:t>在线旅游平台的赋能作用与未来高质量发展</w:t>
            </w:r>
          </w:p>
        </w:tc>
        <w:tc>
          <w:tcPr>
            <w:tcW w:w="159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szCs w:val="24"/>
                <w:vertAlign w:val="baseline"/>
              </w:rPr>
            </w:pPr>
          </w:p>
        </w:tc>
        <w:tc>
          <w:tcPr>
            <w:tcW w:w="146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cs="Times New Roman"/>
                <w:color w:val="auto"/>
                <w:szCs w:val="24"/>
                <w:vertAlign w:val="baseline"/>
                <w:lang w:val="en-US" w:eastAsia="zh-CN"/>
              </w:rPr>
              <w:t>12</w:t>
            </w:r>
          </w:p>
        </w:tc>
        <w:tc>
          <w:tcPr>
            <w:tcW w:w="4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乡村振兴背景下广东乡村消费发展分析</w:t>
            </w:r>
          </w:p>
        </w:tc>
        <w:tc>
          <w:tcPr>
            <w:tcW w:w="159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p>
        </w:tc>
        <w:tc>
          <w:tcPr>
            <w:tcW w:w="146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cs="Times New Roman"/>
                <w:color w:val="auto"/>
                <w:szCs w:val="24"/>
                <w:vertAlign w:val="baseline"/>
                <w:lang w:val="en-US" w:eastAsia="zh-CN"/>
              </w:rPr>
              <w:t>13</w:t>
            </w:r>
          </w:p>
        </w:tc>
        <w:tc>
          <w:tcPr>
            <w:tcW w:w="4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szCs w:val="24"/>
                <w:vertAlign w:val="baseline"/>
              </w:rPr>
            </w:pPr>
            <w:r>
              <w:rPr>
                <w:rFonts w:hint="default" w:ascii="Times New Roman" w:hAnsi="Times New Roman" w:eastAsia="CESI宋体-GB2312" w:cs="Times New Roman"/>
                <w:b w:val="0"/>
                <w:bCs w:val="0"/>
                <w:i w:val="0"/>
                <w:iCs w:val="0"/>
                <w:color w:val="auto"/>
                <w:kern w:val="0"/>
                <w:sz w:val="24"/>
                <w:szCs w:val="24"/>
                <w:u w:val="none"/>
                <w:lang w:val="en-US" w:eastAsia="zh-CN" w:bidi="ar"/>
              </w:rPr>
              <w:t>粤港澳大湾区人口流动与经济发展相互影响研究</w:t>
            </w:r>
          </w:p>
        </w:tc>
        <w:tc>
          <w:tcPr>
            <w:tcW w:w="159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szCs w:val="24"/>
                <w:vertAlign w:val="baseline"/>
              </w:rPr>
            </w:pPr>
          </w:p>
        </w:tc>
        <w:tc>
          <w:tcPr>
            <w:tcW w:w="146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cs="Times New Roman"/>
                <w:color w:val="auto"/>
                <w:szCs w:val="24"/>
                <w:vertAlign w:val="baseline"/>
                <w:lang w:val="en-US" w:eastAsia="zh-CN"/>
              </w:rPr>
              <w:t>14</w:t>
            </w:r>
          </w:p>
        </w:tc>
        <w:tc>
          <w:tcPr>
            <w:tcW w:w="4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szCs w:val="24"/>
                <w:vertAlign w:val="baseline"/>
              </w:rPr>
            </w:pPr>
            <w:r>
              <w:rPr>
                <w:rFonts w:hint="default" w:ascii="Times New Roman" w:hAnsi="Times New Roman" w:eastAsia="CESI宋体-GB2312" w:cs="Times New Roman"/>
                <w:b w:val="0"/>
                <w:bCs w:val="0"/>
                <w:i w:val="0"/>
                <w:iCs w:val="0"/>
                <w:color w:val="auto"/>
                <w:kern w:val="0"/>
                <w:sz w:val="24"/>
                <w:szCs w:val="24"/>
                <w:u w:val="none"/>
                <w:lang w:val="en-US" w:eastAsia="zh-CN" w:bidi="ar"/>
              </w:rPr>
              <w:t>区域经济与生态环境耦合协调高质量发展研究——以广东江门旅游产业为例</w:t>
            </w:r>
          </w:p>
        </w:tc>
        <w:tc>
          <w:tcPr>
            <w:tcW w:w="159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szCs w:val="24"/>
                <w:vertAlign w:val="baseline"/>
              </w:rPr>
            </w:pPr>
          </w:p>
        </w:tc>
        <w:tc>
          <w:tcPr>
            <w:tcW w:w="146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cs="Times New Roman"/>
                <w:color w:val="auto"/>
                <w:szCs w:val="24"/>
                <w:vertAlign w:val="baseline"/>
                <w:lang w:val="en-US" w:eastAsia="zh-CN"/>
              </w:rPr>
              <w:t>15</w:t>
            </w:r>
          </w:p>
        </w:tc>
        <w:tc>
          <w:tcPr>
            <w:tcW w:w="4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探索生态旅游赋能乡村振兴实现路径——以广东云浮市为例</w:t>
            </w:r>
          </w:p>
        </w:tc>
        <w:tc>
          <w:tcPr>
            <w:tcW w:w="159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《广东经济》</w:t>
            </w:r>
          </w:p>
        </w:tc>
        <w:tc>
          <w:tcPr>
            <w:tcW w:w="146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cs="Times New Roman"/>
                <w:color w:val="auto"/>
                <w:szCs w:val="24"/>
                <w:vertAlign w:val="baseline"/>
                <w:lang w:val="en-US" w:eastAsia="zh-CN"/>
              </w:rPr>
              <w:t>16</w:t>
            </w:r>
          </w:p>
        </w:tc>
        <w:tc>
          <w:tcPr>
            <w:tcW w:w="4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乡村振兴背景下广东乡村民宿发展经验及启示</w:t>
            </w:r>
          </w:p>
        </w:tc>
        <w:tc>
          <w:tcPr>
            <w:tcW w:w="159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p>
        </w:tc>
        <w:tc>
          <w:tcPr>
            <w:tcW w:w="146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cs="Times New Roman"/>
                <w:color w:val="auto"/>
                <w:szCs w:val="24"/>
                <w:vertAlign w:val="baseline"/>
                <w:lang w:val="en-US" w:eastAsia="zh-CN"/>
              </w:rPr>
              <w:t>17</w:t>
            </w:r>
          </w:p>
        </w:tc>
        <w:tc>
          <w:tcPr>
            <w:tcW w:w="4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fldChar w:fldCharType="begin"/>
            </w:r>
            <w:r>
              <w:rPr>
                <w:rFonts w:hint="default" w:ascii="Times New Roman" w:hAnsi="Times New Roman" w:eastAsia="CESI宋体-GB2312" w:cs="Times New Roman"/>
                <w:b w:val="0"/>
                <w:bCs w:val="0"/>
                <w:i w:val="0"/>
                <w:iCs w:val="0"/>
                <w:color w:val="auto"/>
                <w:kern w:val="0"/>
                <w:sz w:val="24"/>
                <w:szCs w:val="24"/>
                <w:u w:val="none"/>
                <w:lang w:val="en-US" w:eastAsia="zh-CN" w:bidi="ar"/>
              </w:rPr>
              <w:instrText xml:space="preserve"> HYPERLINK "https://kns.cnki.net/kcms2/article/abstract?v=0qMDjMp0v1l7hKNuoPAjY9qsTFzr3woB-9P83nBXtUBrKoiZra5QDUFdbT260NI9r9HS8NtK1as8DOyAVT7RqeYrCyEYFQTwegIJCTarSRD2uQJSjyevwXmWGUjDSgvIt42wSQ-xe5o=&amp;uniplatform=NZKPT&amp;language=CHS" \o "https://kns.cnki.net/kcms2/article/abstract?v=0qMDjMp0v1l7hKNuoPAjY9qsTFzr3woB-9P83nBXtUBrKoiZra5QDUFdbT260NI9r9HS8NtK1as8DOyAVT7RqeYrCyEYFQTwegIJCTarSRD2uQJSjyevwXmWGUjDSgvIt42wSQ-xe5o=&amp;uniplatform=NZKPT&amp;language=CHS" </w:instrText>
            </w:r>
            <w:r>
              <w:rPr>
                <w:rFonts w:hint="default" w:ascii="Times New Roman" w:hAnsi="Times New Roman" w:eastAsia="CESI宋体-GB2312" w:cs="Times New Roman"/>
                <w:b w:val="0"/>
                <w:bCs w:val="0"/>
                <w:i w:val="0"/>
                <w:iCs w:val="0"/>
                <w:color w:val="auto"/>
                <w:kern w:val="0"/>
                <w:sz w:val="24"/>
                <w:szCs w:val="24"/>
                <w:u w:val="none"/>
                <w:lang w:val="en-US" w:eastAsia="zh-CN" w:bidi="ar"/>
              </w:rPr>
              <w:fldChar w:fldCharType="separate"/>
            </w:r>
            <w:r>
              <w:rPr>
                <w:rStyle w:val="19"/>
                <w:rFonts w:hint="default" w:ascii="Times New Roman" w:hAnsi="Times New Roman" w:eastAsia="CESI宋体-GB2312" w:cs="Times New Roman"/>
                <w:b w:val="0"/>
                <w:bCs w:val="0"/>
                <w:i w:val="0"/>
                <w:iCs w:val="0"/>
                <w:color w:val="auto"/>
                <w:sz w:val="24"/>
                <w:szCs w:val="24"/>
                <w:u w:val="none"/>
              </w:rPr>
              <w:t>粤港澳大湾区的制度创新与治理能力现代化建设</w:t>
            </w:r>
            <w:r>
              <w:rPr>
                <w:rFonts w:hint="default" w:ascii="Times New Roman" w:hAnsi="Times New Roman" w:eastAsia="CESI宋体-GB2312" w:cs="Times New Roman"/>
                <w:b w:val="0"/>
                <w:bCs w:val="0"/>
                <w:i w:val="0"/>
                <w:iCs w:val="0"/>
                <w:color w:val="auto"/>
                <w:kern w:val="0"/>
                <w:sz w:val="24"/>
                <w:szCs w:val="24"/>
                <w:u w:val="none"/>
                <w:lang w:val="en-US" w:eastAsia="zh-CN" w:bidi="ar"/>
              </w:rPr>
              <w:fldChar w:fldCharType="end"/>
            </w:r>
          </w:p>
        </w:tc>
        <w:tc>
          <w:tcPr>
            <w:tcW w:w="1597"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r>
              <w:rPr>
                <w:rFonts w:hint="default" w:ascii="Times New Roman" w:hAnsi="Times New Roman" w:eastAsia="CESI宋体-GB2312" w:cs="Times New Roman"/>
                <w:b w:val="0"/>
                <w:bCs w:val="0"/>
                <w:i w:val="0"/>
                <w:iCs w:val="0"/>
                <w:color w:val="auto"/>
                <w:kern w:val="0"/>
                <w:sz w:val="24"/>
                <w:szCs w:val="24"/>
                <w:u w:val="none"/>
                <w:lang w:val="en-US" w:eastAsia="zh-CN" w:bidi="ar"/>
              </w:rPr>
              <w:t>《小康》</w:t>
            </w:r>
          </w:p>
        </w:tc>
        <w:tc>
          <w:tcPr>
            <w:tcW w:w="146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cs="Times New Roman"/>
                <w:color w:val="auto"/>
                <w:szCs w:val="24"/>
                <w:vertAlign w:val="baseline"/>
                <w:lang w:val="en-US" w:eastAsia="zh-CN"/>
              </w:rPr>
              <w:t>18</w:t>
            </w:r>
          </w:p>
        </w:tc>
        <w:tc>
          <w:tcPr>
            <w:tcW w:w="4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0"/>
                <w:sz w:val="24"/>
                <w:szCs w:val="24"/>
                <w:u w:val="none"/>
                <w:lang w:val="en-US" w:eastAsia="zh-CN" w:bidi="ar"/>
              </w:rPr>
            </w:pPr>
            <w:r>
              <w:rPr>
                <w:rFonts w:hint="default" w:ascii="Times New Roman" w:hAnsi="Times New Roman" w:eastAsia="CESI宋体-GB2312" w:cs="Times New Roman"/>
                <w:b w:val="0"/>
                <w:bCs w:val="0"/>
                <w:i w:val="0"/>
                <w:iCs w:val="0"/>
                <w:color w:val="auto"/>
                <w:kern w:val="0"/>
                <w:sz w:val="24"/>
                <w:szCs w:val="24"/>
                <w:u w:val="none"/>
                <w:lang w:val="en-US" w:eastAsia="zh-CN" w:bidi="ar"/>
              </w:rPr>
              <w:t>以打造海上新广东取得新突破为牵引 全面推动海洋旅游业高质量发展</w:t>
            </w:r>
          </w:p>
        </w:tc>
        <w:tc>
          <w:tcPr>
            <w:tcW w:w="1597"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0"/>
                <w:sz w:val="24"/>
                <w:szCs w:val="24"/>
                <w:u w:val="none"/>
                <w:lang w:val="en-US" w:eastAsia="zh-CN" w:bidi="ar"/>
              </w:rPr>
            </w:pPr>
            <w:r>
              <w:rPr>
                <w:rFonts w:hint="default" w:ascii="Times New Roman" w:hAnsi="Times New Roman" w:eastAsia="CESI宋体-GB2312" w:cs="Times New Roman"/>
                <w:b w:val="0"/>
                <w:bCs w:val="0"/>
                <w:i w:val="0"/>
                <w:iCs w:val="0"/>
                <w:color w:val="auto"/>
                <w:kern w:val="0"/>
                <w:sz w:val="24"/>
                <w:szCs w:val="24"/>
                <w:u w:val="none"/>
                <w:lang w:val="en-US" w:eastAsia="zh-CN" w:bidi="ar"/>
              </w:rPr>
              <w:t>《南方》</w:t>
            </w:r>
          </w:p>
        </w:tc>
        <w:tc>
          <w:tcPr>
            <w:tcW w:w="146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CESI宋体-GB2312" w:cs="Times New Roman"/>
                <w:b w:val="0"/>
                <w:bCs w:val="0"/>
                <w:i w:val="0"/>
                <w:iCs w:val="0"/>
                <w:color w:val="auto"/>
                <w:kern w:val="2"/>
                <w:sz w:val="24"/>
                <w:szCs w:val="24"/>
                <w:u w:val="none"/>
                <w:lang w:val="en-US" w:eastAsia="zh-CN" w:bidi="ar-SA"/>
              </w:rPr>
            </w:pPr>
          </w:p>
        </w:tc>
      </w:tr>
    </w:tbl>
    <w:p>
      <w:pPr>
        <w:pStyle w:val="5"/>
        <w:keepNext w:val="0"/>
        <w:keepLines w:val="0"/>
        <w:pageBreakBefore w:val="0"/>
        <w:widowControl w:val="0"/>
        <w:kinsoku/>
        <w:wordWrap/>
        <w:overflowPunct/>
        <w:topLinePunct w:val="0"/>
        <w:autoSpaceDE/>
        <w:autoSpaceDN/>
        <w:bidi w:val="0"/>
        <w:adjustRightInd/>
        <w:snapToGrid/>
        <w:spacing w:before="157" w:beforeLines="50"/>
        <w:ind w:firstLine="560" w:firstLineChars="200"/>
        <w:textAlignment w:val="auto"/>
        <w:rPr>
          <w:rFonts w:hint="eastAsia" w:eastAsia="黑体"/>
          <w:lang w:eastAsia="zh-CN"/>
        </w:rPr>
      </w:pPr>
      <w:bookmarkStart w:id="66" w:name="_Toc30495"/>
      <w:r>
        <w:rPr>
          <w:rFonts w:hint="eastAsia"/>
        </w:rPr>
        <w:t>2.学位论文质量</w:t>
      </w:r>
      <w:bookmarkEnd w:id="66"/>
    </w:p>
    <w:p>
      <w:pPr>
        <w:keepNext w:val="0"/>
        <w:keepLines w:val="0"/>
        <w:pageBreakBefore w:val="0"/>
        <w:widowControl w:val="0"/>
        <w:kinsoku/>
        <w:wordWrap/>
        <w:overflowPunct/>
        <w:topLinePunct w:val="0"/>
        <w:autoSpaceDE/>
        <w:autoSpaceDN/>
        <w:bidi w:val="0"/>
        <w:adjustRightInd/>
        <w:snapToGrid/>
        <w:ind w:firstLine="480"/>
        <w:textAlignment w:val="auto"/>
        <w:rPr>
          <w:rFonts w:hint="eastAsia"/>
          <w:color w:val="auto"/>
        </w:rPr>
      </w:pPr>
      <w:r>
        <w:rPr>
          <w:rFonts w:hint="eastAsia"/>
          <w:lang w:val="en-US" w:eastAsia="zh-Hans"/>
        </w:rPr>
        <w:t>本</w:t>
      </w:r>
      <w:r>
        <w:rPr>
          <w:rFonts w:hint="eastAsia"/>
          <w:lang w:val="en-US" w:eastAsia="zh-CN"/>
        </w:rPr>
        <w:t>学位点</w:t>
      </w:r>
      <w:r>
        <w:rPr>
          <w:rFonts w:hint="eastAsia"/>
          <w:lang w:val="en-US" w:eastAsia="zh-Hans"/>
        </w:rPr>
        <w:t>高度重视学生论文质量</w:t>
      </w:r>
      <w:r>
        <w:rPr>
          <w:rFonts w:hint="eastAsia"/>
          <w:lang w:eastAsia="zh-CN"/>
        </w:rPr>
        <w:t>，注重论文选题的</w:t>
      </w:r>
      <w:r>
        <w:rPr>
          <w:rFonts w:hint="eastAsia"/>
          <w:lang w:val="en-US" w:eastAsia="zh-Hans"/>
        </w:rPr>
        <w:t>创新性和</w:t>
      </w:r>
      <w:r>
        <w:rPr>
          <w:rFonts w:hint="eastAsia"/>
          <w:lang w:eastAsia="zh-CN"/>
        </w:rPr>
        <w:t>应用价值。</w:t>
      </w:r>
      <w:r>
        <w:rPr>
          <w:rFonts w:hint="eastAsia"/>
          <w:lang w:val="en-US" w:eastAsia="zh-Hans"/>
        </w:rPr>
        <w:t>同时始终</w:t>
      </w:r>
      <w:r>
        <w:rPr>
          <w:rFonts w:hint="eastAsia"/>
        </w:rPr>
        <w:t>坚持全过程管理，</w:t>
      </w:r>
      <w:r>
        <w:rPr>
          <w:rFonts w:hint="eastAsia"/>
          <w:lang w:val="en-US" w:eastAsia="zh-CN"/>
        </w:rPr>
        <w:t>在论文开题</w:t>
      </w:r>
      <w:r>
        <w:rPr>
          <w:rFonts w:hint="eastAsia"/>
          <w:lang w:eastAsia="zh-CN"/>
        </w:rPr>
        <w:t>、</w:t>
      </w:r>
      <w:r>
        <w:rPr>
          <w:rFonts w:hint="eastAsia"/>
          <w:lang w:val="en-US" w:eastAsia="zh-CN"/>
        </w:rPr>
        <w:t>撰写</w:t>
      </w:r>
      <w:r>
        <w:rPr>
          <w:rFonts w:hint="eastAsia"/>
          <w:lang w:eastAsia="zh-CN"/>
        </w:rPr>
        <w:t>、</w:t>
      </w:r>
      <w:r>
        <w:rPr>
          <w:rFonts w:hint="eastAsia"/>
          <w:lang w:val="en-US" w:eastAsia="zh-CN"/>
        </w:rPr>
        <w:t>预答辩、</w:t>
      </w:r>
      <w:r>
        <w:rPr>
          <w:rFonts w:hint="eastAsia"/>
          <w:lang w:eastAsia="zh-CN"/>
        </w:rPr>
        <w:t>答辩等环节</w:t>
      </w:r>
      <w:r>
        <w:rPr>
          <w:rFonts w:hint="eastAsia"/>
          <w:lang w:val="en-US" w:eastAsia="zh-CN"/>
        </w:rPr>
        <w:t>层层把关</w:t>
      </w:r>
      <w:r>
        <w:rPr>
          <w:rFonts w:hint="eastAsia"/>
          <w:lang w:eastAsia="zh-CN"/>
        </w:rPr>
        <w:t>，加强对学位论文质量的过程监控。</w:t>
      </w:r>
      <w:r>
        <w:rPr>
          <w:rFonts w:hint="eastAsia"/>
        </w:rPr>
        <w:t>202</w:t>
      </w:r>
      <w:r>
        <w:rPr>
          <w:rFonts w:hint="eastAsia"/>
          <w:lang w:val="en-US" w:eastAsia="zh-CN"/>
        </w:rPr>
        <w:t>3</w:t>
      </w:r>
      <w:r>
        <w:rPr>
          <w:rFonts w:hint="eastAsia"/>
        </w:rPr>
        <w:t>年</w:t>
      </w:r>
      <w:r>
        <w:rPr>
          <w:rFonts w:hint="eastAsia"/>
          <w:lang w:eastAsia="zh-CN"/>
        </w:rPr>
        <w:t>，</w:t>
      </w:r>
      <w:r>
        <w:rPr>
          <w:rFonts w:hint="eastAsia"/>
          <w:lang w:val="en-US" w:eastAsia="zh-CN"/>
        </w:rPr>
        <w:t>学位点</w:t>
      </w:r>
      <w:r>
        <w:rPr>
          <w:rFonts w:hint="eastAsia"/>
          <w:color w:val="auto"/>
        </w:rPr>
        <w:t>1</w:t>
      </w:r>
      <w:r>
        <w:rPr>
          <w:rFonts w:hint="eastAsia"/>
          <w:color w:val="auto"/>
          <w:lang w:val="en-US" w:eastAsia="zh-CN"/>
        </w:rPr>
        <w:t>0</w:t>
      </w:r>
      <w:r>
        <w:rPr>
          <w:rFonts w:hint="eastAsia"/>
          <w:color w:val="auto"/>
        </w:rPr>
        <w:t>篇硕士学位论文</w:t>
      </w:r>
      <w:r>
        <w:rPr>
          <w:rFonts w:hint="eastAsia"/>
          <w:color w:val="auto"/>
          <w:lang w:val="en-US" w:eastAsia="zh-CN"/>
        </w:rPr>
        <w:t>全部</w:t>
      </w:r>
      <w:r>
        <w:rPr>
          <w:rFonts w:hint="eastAsia"/>
          <w:color w:val="auto"/>
        </w:rPr>
        <w:t>通过答辩</w:t>
      </w:r>
      <w:r>
        <w:rPr>
          <w:rFonts w:hint="eastAsia"/>
          <w:color w:val="auto"/>
          <w:lang w:eastAsia="zh-CN"/>
        </w:rPr>
        <w:t>，</w:t>
      </w:r>
      <w:r>
        <w:rPr>
          <w:rFonts w:hint="eastAsia"/>
          <w:color w:val="auto"/>
        </w:rPr>
        <w:t>其中</w:t>
      </w:r>
      <w:r>
        <w:rPr>
          <w:rFonts w:hint="eastAsia"/>
          <w:color w:val="auto"/>
          <w:lang w:val="en-US" w:eastAsia="zh-CN"/>
        </w:rPr>
        <w:t>1篇优秀，6</w:t>
      </w:r>
      <w:r>
        <w:rPr>
          <w:rFonts w:hint="eastAsia"/>
          <w:color w:val="auto"/>
        </w:rPr>
        <w:t>篇良好，</w:t>
      </w:r>
      <w:r>
        <w:rPr>
          <w:rFonts w:hint="eastAsia"/>
          <w:color w:val="auto"/>
          <w:lang w:val="en-US" w:eastAsia="zh-CN"/>
        </w:rPr>
        <w:t>3</w:t>
      </w:r>
      <w:r>
        <w:rPr>
          <w:rFonts w:hint="eastAsia"/>
          <w:color w:val="auto"/>
        </w:rPr>
        <w:t>篇</w:t>
      </w:r>
      <w:r>
        <w:rPr>
          <w:rFonts w:hint="eastAsia"/>
          <w:color w:val="auto"/>
          <w:lang w:val="en-US" w:eastAsia="zh-CN"/>
        </w:rPr>
        <w:t>中等</w:t>
      </w:r>
      <w:r>
        <w:rPr>
          <w:rFonts w:hint="eastAsia"/>
          <w:color w:val="auto"/>
        </w:rPr>
        <w:t>，没有被查出抄袭和剽窃等学位论文不端行为（见表</w:t>
      </w:r>
      <w:r>
        <w:rPr>
          <w:rFonts w:hint="eastAsia"/>
          <w:color w:val="auto"/>
          <w:lang w:val="en-US" w:eastAsia="zh-CN"/>
        </w:rPr>
        <w:t>10</w:t>
      </w:r>
      <w:r>
        <w:rPr>
          <w:rFonts w:hint="eastAsia"/>
          <w:color w:val="auto"/>
        </w:rPr>
        <w:t>）。广东省教育厅对本学位点202</w:t>
      </w:r>
      <w:r>
        <w:rPr>
          <w:rFonts w:hint="eastAsia"/>
          <w:color w:val="auto"/>
          <w:lang w:val="en-US" w:eastAsia="zh-CN"/>
        </w:rPr>
        <w:t>3</w:t>
      </w:r>
      <w:r>
        <w:rPr>
          <w:rFonts w:hint="eastAsia"/>
          <w:color w:val="auto"/>
        </w:rPr>
        <w:t>届</w:t>
      </w:r>
      <w:r>
        <w:rPr>
          <w:rFonts w:hint="eastAsia"/>
          <w:color w:val="auto"/>
          <w:lang w:val="en-US" w:eastAsia="zh-CN"/>
        </w:rPr>
        <w:t>10</w:t>
      </w:r>
      <w:r>
        <w:rPr>
          <w:rFonts w:hint="eastAsia"/>
          <w:color w:val="auto"/>
        </w:rPr>
        <w:t>篇硕士学位论文进行抽检，</w:t>
      </w:r>
      <w:r>
        <w:rPr>
          <w:rFonts w:hint="eastAsia"/>
          <w:color w:val="auto"/>
          <w:lang w:eastAsia="zh-CN"/>
        </w:rPr>
        <w:t>被抽</w:t>
      </w:r>
      <w:r>
        <w:rPr>
          <w:rFonts w:hint="eastAsia"/>
          <w:color w:val="auto"/>
          <w:lang w:val="en-US" w:eastAsia="zh-CN"/>
        </w:rPr>
        <w:t>中</w:t>
      </w:r>
      <w:r>
        <w:rPr>
          <w:rFonts w:hint="eastAsia"/>
          <w:color w:val="auto"/>
          <w:lang w:eastAsia="zh-CN"/>
        </w:rPr>
        <w:t>的</w:t>
      </w:r>
      <w:r>
        <w:rPr>
          <w:rFonts w:hint="eastAsia"/>
          <w:color w:val="auto"/>
        </w:rPr>
        <w:t xml:space="preserve">1篇论文以“良好”的评审结果通过。 </w:t>
      </w:r>
    </w:p>
    <w:p>
      <w:pPr>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firstLine="0" w:firstLineChars="0"/>
        <w:jc w:val="center"/>
        <w:textAlignment w:val="auto"/>
        <w:outlineLvl w:val="9"/>
        <w:rPr>
          <w:rFonts w:hint="eastAsia" w:ascii="宋体" w:hAnsi="宋体" w:eastAsia="宋体" w:cs="宋体"/>
          <w:b/>
          <w:bCs/>
          <w:color w:val="auto"/>
          <w:sz w:val="24"/>
          <w:szCs w:val="24"/>
          <w:lang w:val="en"/>
        </w:rPr>
      </w:pPr>
      <w:r>
        <w:rPr>
          <w:rFonts w:hint="eastAsia" w:ascii="宋体" w:hAnsi="宋体" w:eastAsia="宋体" w:cs="宋体"/>
          <w:b/>
          <w:bCs/>
          <w:color w:val="auto"/>
          <w:sz w:val="24"/>
          <w:szCs w:val="24"/>
          <w:lang w:val="en"/>
        </w:rPr>
        <w:t>表</w:t>
      </w:r>
      <w:r>
        <w:rPr>
          <w:rFonts w:hint="eastAsia" w:ascii="宋体" w:hAnsi="宋体" w:cs="宋体"/>
          <w:b/>
          <w:bCs/>
          <w:color w:val="auto"/>
          <w:sz w:val="24"/>
          <w:szCs w:val="24"/>
          <w:lang w:val="en-US" w:eastAsia="zh-CN"/>
        </w:rPr>
        <w:t>10</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en"/>
        </w:rPr>
        <w:t>202</w:t>
      </w:r>
      <w:r>
        <w:rPr>
          <w:rFonts w:hint="eastAsia" w:ascii="宋体" w:hAnsi="宋体" w:cs="宋体"/>
          <w:b/>
          <w:bCs/>
          <w:color w:val="auto"/>
          <w:sz w:val="24"/>
          <w:szCs w:val="24"/>
          <w:lang w:val="en-US" w:eastAsia="zh-CN"/>
        </w:rPr>
        <w:t>3</w:t>
      </w:r>
      <w:r>
        <w:rPr>
          <w:rFonts w:hint="eastAsia" w:ascii="宋体" w:hAnsi="宋体" w:eastAsia="宋体" w:cs="宋体"/>
          <w:b/>
          <w:bCs/>
          <w:color w:val="auto"/>
          <w:sz w:val="24"/>
          <w:szCs w:val="24"/>
          <w:lang w:val="en"/>
        </w:rPr>
        <w:t>年</w:t>
      </w:r>
      <w:r>
        <w:rPr>
          <w:rFonts w:hint="eastAsia" w:ascii="宋体" w:hAnsi="宋体" w:eastAsia="宋体" w:cs="宋体"/>
          <w:b/>
          <w:bCs/>
          <w:color w:val="auto"/>
          <w:sz w:val="24"/>
          <w:szCs w:val="24"/>
          <w:lang w:val="en-US" w:eastAsia="zh-CN"/>
        </w:rPr>
        <w:t>应用经济学</w:t>
      </w:r>
      <w:r>
        <w:rPr>
          <w:rFonts w:hint="eastAsia" w:ascii="宋体" w:hAnsi="宋体" w:eastAsia="宋体" w:cs="宋体"/>
          <w:b/>
          <w:bCs/>
          <w:color w:val="auto"/>
          <w:sz w:val="24"/>
          <w:szCs w:val="24"/>
          <w:lang w:val="en"/>
        </w:rPr>
        <w:t>毕业论文情况表</w:t>
      </w:r>
    </w:p>
    <w:tbl>
      <w:tblPr>
        <w:tblStyle w:val="17"/>
        <w:tblW w:w="8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6862"/>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b/>
                <w:bCs/>
                <w:color w:val="auto"/>
                <w:lang w:val="en" w:eastAsia="zh-CN"/>
              </w:rPr>
            </w:pPr>
            <w:r>
              <w:rPr>
                <w:rFonts w:hint="eastAsia"/>
                <w:b/>
                <w:bCs/>
                <w:color w:val="auto"/>
                <w:lang w:val="en-US" w:eastAsia="zh-CN"/>
              </w:rPr>
              <w:t>序号</w:t>
            </w:r>
          </w:p>
        </w:tc>
        <w:tc>
          <w:tcPr>
            <w:tcW w:w="68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color w:val="auto"/>
                <w:lang w:val="en"/>
              </w:rPr>
            </w:pPr>
            <w:r>
              <w:rPr>
                <w:rFonts w:hint="eastAsia"/>
                <w:b/>
                <w:bCs/>
                <w:color w:val="auto"/>
                <w:lang w:val="en"/>
              </w:rPr>
              <w:t>论文题目</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color w:val="auto"/>
                <w:lang w:val="en"/>
              </w:rPr>
            </w:pPr>
            <w:r>
              <w:rPr>
                <w:rFonts w:hint="eastAsia"/>
                <w:b/>
                <w:bCs/>
                <w:color w:val="auto"/>
                <w:lang w:val="e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olor w:val="auto"/>
                <w:szCs w:val="24"/>
                <w:lang w:val="en" w:eastAsia="zh-CN"/>
              </w:rPr>
            </w:pPr>
            <w:r>
              <w:rPr>
                <w:rFonts w:hint="eastAsia"/>
                <w:color w:val="auto"/>
                <w:szCs w:val="24"/>
                <w:lang w:val="en-US" w:eastAsia="zh-CN"/>
              </w:rPr>
              <w:t>1</w:t>
            </w:r>
          </w:p>
        </w:tc>
        <w:tc>
          <w:tcPr>
            <w:tcW w:w="68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Cs w:val="24"/>
                <w:lang w:val="en"/>
              </w:rPr>
            </w:pPr>
            <w:r>
              <w:rPr>
                <w:rFonts w:hint="eastAsia" w:ascii="CESI宋体-GB2312" w:hAnsi="CESI宋体-GB2312" w:eastAsia="CESI宋体-GB2312" w:cs="CESI宋体-GB2312"/>
                <w:sz w:val="24"/>
                <w:szCs w:val="24"/>
              </w:rPr>
              <w:t>《产业网络双重嵌入对后发企业追赶绩效的影响研究》</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Cs w:val="24"/>
                <w:lang w:val="en" w:eastAsia="zh-CN"/>
              </w:rPr>
            </w:pPr>
            <w:r>
              <w:rPr>
                <w:rFonts w:hint="eastAsia" w:ascii="CESI宋体-GB2312" w:hAnsi="CESI宋体-GB2312" w:eastAsia="CESI宋体-GB2312" w:cs="CESI宋体-GB2312"/>
                <w:sz w:val="24"/>
                <w:szCs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olor w:val="auto"/>
                <w:szCs w:val="24"/>
                <w:lang w:val="en" w:eastAsia="zh-CN"/>
              </w:rPr>
            </w:pPr>
            <w:r>
              <w:rPr>
                <w:rFonts w:hint="eastAsia"/>
                <w:color w:val="auto"/>
                <w:szCs w:val="24"/>
                <w:lang w:val="en-US" w:eastAsia="zh-CN"/>
              </w:rPr>
              <w:t>2</w:t>
            </w:r>
          </w:p>
        </w:tc>
        <w:tc>
          <w:tcPr>
            <w:tcW w:w="68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Cs w:val="24"/>
                <w:lang w:val="en"/>
              </w:rPr>
            </w:pPr>
            <w:r>
              <w:rPr>
                <w:rFonts w:hint="eastAsia" w:ascii="CESI宋体-GB2312" w:hAnsi="CESI宋体-GB2312" w:eastAsia="CESI宋体-GB2312" w:cs="CESI宋体-GB2312"/>
                <w:sz w:val="24"/>
                <w:szCs w:val="24"/>
              </w:rPr>
              <w:t>《金融集聚对科技创新效率的影响研究</w:t>
            </w:r>
            <w:r>
              <w:rPr>
                <w:rFonts w:hint="eastAsia" w:ascii="CESI宋体-GB2312" w:hAnsi="CESI宋体-GB2312" w:eastAsia="CESI宋体-GB2312" w:cs="CESI宋体-GB2312"/>
                <w:sz w:val="24"/>
                <w:szCs w:val="24"/>
                <w:lang w:eastAsia="zh-CN"/>
              </w:rPr>
              <w:t>——以广东省为例</w:t>
            </w:r>
            <w:r>
              <w:rPr>
                <w:rFonts w:hint="eastAsia" w:ascii="CESI宋体-GB2312" w:hAnsi="CESI宋体-GB2312" w:eastAsia="CESI宋体-GB2312" w:cs="CESI宋体-GB2312"/>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Cs w:val="24"/>
                <w:lang w:val="en" w:eastAsia="zh-CN"/>
              </w:rPr>
            </w:pPr>
            <w:r>
              <w:rPr>
                <w:rFonts w:hint="eastAsia" w:ascii="CESI宋体-GB2312" w:hAnsi="CESI宋体-GB2312" w:eastAsia="CESI宋体-GB2312" w:cs="CESI宋体-GB2312"/>
                <w:sz w:val="24"/>
                <w:szCs w:val="24"/>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olor w:val="auto"/>
                <w:szCs w:val="24"/>
                <w:lang w:val="en" w:eastAsia="zh-CN"/>
              </w:rPr>
            </w:pPr>
            <w:r>
              <w:rPr>
                <w:rFonts w:hint="eastAsia"/>
                <w:color w:val="auto"/>
                <w:szCs w:val="24"/>
                <w:lang w:val="en-US" w:eastAsia="zh-CN"/>
              </w:rPr>
              <w:t>3</w:t>
            </w:r>
          </w:p>
        </w:tc>
        <w:tc>
          <w:tcPr>
            <w:tcW w:w="68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Cs w:val="24"/>
                <w:lang w:val="en"/>
              </w:rPr>
            </w:pPr>
            <w:r>
              <w:rPr>
                <w:rFonts w:hint="eastAsia" w:ascii="CESI宋体-GB2312" w:hAnsi="CESI宋体-GB2312" w:eastAsia="CESI宋体-GB2312" w:cs="CESI宋体-GB2312"/>
                <w:sz w:val="24"/>
                <w:szCs w:val="24"/>
              </w:rPr>
              <w:t>《金融化与去工业化之间的双向影响：宏观表现与微观机制》</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Cs w:val="24"/>
                <w:lang w:val="en"/>
              </w:rPr>
            </w:pPr>
            <w:r>
              <w:rPr>
                <w:rFonts w:hint="eastAsia" w:ascii="CESI宋体-GB2312" w:hAnsi="CESI宋体-GB2312" w:eastAsia="CESI宋体-GB2312" w:cs="CESI宋体-GB2312"/>
                <w:sz w:val="24"/>
                <w:szCs w:val="24"/>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olor w:val="auto"/>
                <w:szCs w:val="24"/>
                <w:lang w:val="en" w:eastAsia="zh-CN"/>
              </w:rPr>
            </w:pPr>
            <w:r>
              <w:rPr>
                <w:rFonts w:hint="eastAsia"/>
                <w:color w:val="auto"/>
                <w:szCs w:val="24"/>
                <w:lang w:val="en-US" w:eastAsia="zh-CN"/>
              </w:rPr>
              <w:t>4</w:t>
            </w:r>
          </w:p>
        </w:tc>
        <w:tc>
          <w:tcPr>
            <w:tcW w:w="68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Cs w:val="24"/>
                <w:lang w:val="en"/>
              </w:rPr>
            </w:pPr>
            <w:r>
              <w:rPr>
                <w:rFonts w:hint="eastAsia" w:ascii="CESI宋体-GB2312" w:hAnsi="CESI宋体-GB2312" w:eastAsia="CESI宋体-GB2312" w:cs="CESI宋体-GB2312"/>
                <w:sz w:val="24"/>
                <w:szCs w:val="24"/>
              </w:rPr>
              <w:t>《科技创新对海洋产业集聚的影响研究》</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Cs w:val="24"/>
                <w:lang w:val="en"/>
              </w:rPr>
            </w:pPr>
            <w:r>
              <w:rPr>
                <w:rFonts w:hint="eastAsia" w:ascii="CESI宋体-GB2312" w:hAnsi="CESI宋体-GB2312" w:eastAsia="CESI宋体-GB2312" w:cs="CESI宋体-GB2312"/>
                <w:sz w:val="24"/>
                <w:szCs w:val="24"/>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olor w:val="auto"/>
                <w:szCs w:val="24"/>
                <w:lang w:val="en" w:eastAsia="zh-CN"/>
              </w:rPr>
            </w:pPr>
            <w:r>
              <w:rPr>
                <w:rFonts w:hint="eastAsia"/>
                <w:color w:val="auto"/>
                <w:szCs w:val="24"/>
                <w:lang w:val="en-US" w:eastAsia="zh-CN"/>
              </w:rPr>
              <w:t>5</w:t>
            </w:r>
          </w:p>
        </w:tc>
        <w:tc>
          <w:tcPr>
            <w:tcW w:w="68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《旅游产业与生态环境的耦合协调性研究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Cs w:val="24"/>
                <w:lang w:val="en"/>
              </w:rPr>
            </w:pPr>
            <w:r>
              <w:rPr>
                <w:rFonts w:hint="eastAsia" w:ascii="CESI宋体-GB2312" w:hAnsi="CESI宋体-GB2312" w:eastAsia="CESI宋体-GB2312" w:cs="CESI宋体-GB2312"/>
                <w:sz w:val="24"/>
                <w:szCs w:val="24"/>
              </w:rPr>
              <w:t>——以肇庆市星湖旅游景区为例》</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Cs w:val="24"/>
                <w:lang w:val="en"/>
              </w:rPr>
            </w:pPr>
            <w:r>
              <w:rPr>
                <w:rFonts w:hint="eastAsia" w:ascii="CESI宋体-GB2312" w:hAnsi="CESI宋体-GB2312" w:eastAsia="CESI宋体-GB2312" w:cs="CESI宋体-GB2312"/>
                <w:sz w:val="24"/>
                <w:szCs w:val="24"/>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olor w:val="auto"/>
                <w:szCs w:val="24"/>
                <w:lang w:val="en" w:eastAsia="zh-CN"/>
              </w:rPr>
            </w:pPr>
            <w:r>
              <w:rPr>
                <w:rFonts w:hint="eastAsia"/>
                <w:color w:val="auto"/>
                <w:szCs w:val="24"/>
                <w:lang w:val="en-US" w:eastAsia="zh-CN"/>
              </w:rPr>
              <w:t>6</w:t>
            </w:r>
          </w:p>
        </w:tc>
        <w:tc>
          <w:tcPr>
            <w:tcW w:w="68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Cs w:val="24"/>
                <w:lang w:val="en"/>
              </w:rPr>
            </w:pPr>
            <w:r>
              <w:rPr>
                <w:rFonts w:hint="eastAsia" w:ascii="CESI宋体-GB2312" w:hAnsi="CESI宋体-GB2312" w:eastAsia="CESI宋体-GB2312" w:cs="CESI宋体-GB2312"/>
                <w:sz w:val="24"/>
                <w:szCs w:val="24"/>
              </w:rPr>
              <w:t>《FDI对广东绿色全要素生产率的影响研究》</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Cs w:val="24"/>
                <w:lang w:val="en" w:eastAsia="zh-CN"/>
              </w:rPr>
            </w:pPr>
            <w:r>
              <w:rPr>
                <w:rFonts w:hint="eastAsia" w:ascii="CESI宋体-GB2312" w:hAnsi="CESI宋体-GB2312" w:eastAsia="CESI宋体-GB2312" w:cs="CESI宋体-GB2312"/>
                <w:sz w:val="24"/>
                <w:szCs w:val="24"/>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olor w:val="auto"/>
                <w:szCs w:val="24"/>
                <w:lang w:val="en" w:eastAsia="zh-CN"/>
              </w:rPr>
            </w:pPr>
            <w:r>
              <w:rPr>
                <w:rFonts w:hint="eastAsia"/>
                <w:color w:val="auto"/>
                <w:szCs w:val="24"/>
                <w:lang w:val="en-US" w:eastAsia="zh-CN"/>
              </w:rPr>
              <w:t>7</w:t>
            </w:r>
          </w:p>
        </w:tc>
        <w:tc>
          <w:tcPr>
            <w:tcW w:w="68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Cs w:val="24"/>
                <w:lang w:val="en"/>
              </w:rPr>
            </w:pPr>
            <w:r>
              <w:rPr>
                <w:rFonts w:hint="eastAsia" w:ascii="CESI宋体-GB2312" w:hAnsi="CESI宋体-GB2312" w:eastAsia="CESI宋体-GB2312" w:cs="CESI宋体-GB2312"/>
                <w:sz w:val="24"/>
                <w:szCs w:val="24"/>
              </w:rPr>
              <w:t>《数字经济发展对我国服务业全要素生产率的影响研究》</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Cs w:val="24"/>
                <w:lang w:val="en" w:eastAsia="zh-CN"/>
              </w:rPr>
            </w:pPr>
            <w:r>
              <w:rPr>
                <w:rFonts w:hint="eastAsia" w:ascii="CESI宋体-GB2312" w:hAnsi="CESI宋体-GB2312" w:eastAsia="CESI宋体-GB2312" w:cs="CESI宋体-GB2312"/>
                <w:sz w:val="24"/>
                <w:szCs w:val="24"/>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olor w:val="auto"/>
                <w:szCs w:val="24"/>
                <w:lang w:val="en" w:eastAsia="zh-CN"/>
              </w:rPr>
            </w:pPr>
            <w:r>
              <w:rPr>
                <w:rFonts w:hint="eastAsia"/>
                <w:color w:val="auto"/>
                <w:szCs w:val="24"/>
                <w:lang w:val="en-US" w:eastAsia="zh-CN"/>
              </w:rPr>
              <w:t>8</w:t>
            </w:r>
          </w:p>
        </w:tc>
        <w:tc>
          <w:tcPr>
            <w:tcW w:w="68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Cs w:val="24"/>
                <w:lang w:val="en"/>
              </w:rPr>
            </w:pPr>
            <w:r>
              <w:rPr>
                <w:rFonts w:hint="eastAsia" w:ascii="CESI宋体-GB2312" w:hAnsi="CESI宋体-GB2312" w:eastAsia="CESI宋体-GB2312" w:cs="CESI宋体-GB2312"/>
                <w:sz w:val="24"/>
                <w:szCs w:val="24"/>
              </w:rPr>
              <w:t>《环境规制对产业集聚</w:t>
            </w:r>
            <w:r>
              <w:rPr>
                <w:rFonts w:hint="eastAsia" w:ascii="CESI宋体-GB2312" w:hAnsi="CESI宋体-GB2312" w:eastAsia="CESI宋体-GB2312" w:cs="CESI宋体-GB2312"/>
                <w:sz w:val="24"/>
                <w:szCs w:val="24"/>
                <w:lang w:val="en"/>
              </w:rPr>
              <w:t>的</w:t>
            </w:r>
            <w:r>
              <w:rPr>
                <w:rFonts w:hint="eastAsia" w:ascii="CESI宋体-GB2312" w:hAnsi="CESI宋体-GB2312" w:eastAsia="CESI宋体-GB2312" w:cs="CESI宋体-GB2312"/>
                <w:sz w:val="24"/>
                <w:szCs w:val="24"/>
              </w:rPr>
              <w:t>影响研究》</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Cs w:val="24"/>
                <w:lang w:val="en" w:eastAsia="zh-CN"/>
              </w:rPr>
            </w:pPr>
            <w:r>
              <w:rPr>
                <w:rFonts w:hint="eastAsia" w:ascii="CESI宋体-GB2312" w:hAnsi="CESI宋体-GB2312" w:eastAsia="CESI宋体-GB2312" w:cs="CESI宋体-GB2312"/>
                <w:sz w:val="24"/>
                <w:szCs w:val="24"/>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olor w:val="auto"/>
                <w:kern w:val="2"/>
                <w:sz w:val="24"/>
                <w:szCs w:val="24"/>
                <w:lang w:val="en-US" w:eastAsia="zh-CN" w:bidi="ar-SA"/>
              </w:rPr>
            </w:pPr>
            <w:r>
              <w:rPr>
                <w:rFonts w:hint="eastAsia"/>
                <w:color w:val="auto"/>
                <w:szCs w:val="24"/>
                <w:lang w:val="en-US" w:eastAsia="zh-CN"/>
              </w:rPr>
              <w:t>9</w:t>
            </w:r>
          </w:p>
        </w:tc>
        <w:tc>
          <w:tcPr>
            <w:tcW w:w="68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kern w:val="2"/>
                <w:sz w:val="24"/>
                <w:szCs w:val="24"/>
                <w:lang w:val="en" w:eastAsia="zh-CN" w:bidi="ar-SA"/>
              </w:rPr>
            </w:pPr>
            <w:r>
              <w:rPr>
                <w:rFonts w:hint="eastAsia" w:ascii="CESI宋体-GB2312" w:hAnsi="CESI宋体-GB2312" w:eastAsia="CESI宋体-GB2312" w:cs="CESI宋体-GB2312"/>
                <w:sz w:val="24"/>
                <w:szCs w:val="24"/>
              </w:rPr>
              <w:t>《“一带一路”倡议对广东省货物贸易结构的影响》</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kern w:val="2"/>
                <w:sz w:val="24"/>
                <w:szCs w:val="24"/>
                <w:lang w:val="en" w:eastAsia="zh-CN" w:bidi="ar-SA"/>
              </w:rPr>
            </w:pPr>
            <w:r>
              <w:rPr>
                <w:rFonts w:hint="eastAsia" w:ascii="CESI宋体-GB2312" w:hAnsi="CESI宋体-GB2312" w:eastAsia="CESI宋体-GB2312" w:cs="CESI宋体-GB2312"/>
                <w:sz w:val="24"/>
                <w:szCs w:val="24"/>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olor w:val="auto"/>
                <w:szCs w:val="24"/>
                <w:lang w:val="en-US" w:eastAsia="zh-CN"/>
              </w:rPr>
            </w:pPr>
            <w:r>
              <w:rPr>
                <w:rFonts w:hint="eastAsia"/>
                <w:color w:val="auto"/>
                <w:szCs w:val="24"/>
                <w:lang w:val="en-US" w:eastAsia="zh-CN"/>
              </w:rPr>
              <w:t>10</w:t>
            </w:r>
          </w:p>
        </w:tc>
        <w:tc>
          <w:tcPr>
            <w:tcW w:w="68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《中国对“一带一路”沿线国家直接投资的贸易效应研究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kern w:val="2"/>
                <w:sz w:val="24"/>
                <w:szCs w:val="24"/>
                <w:lang w:val="en" w:eastAsia="zh-CN" w:bidi="ar-SA"/>
              </w:rPr>
            </w:pPr>
            <w:r>
              <w:rPr>
                <w:rFonts w:hint="eastAsia" w:ascii="CESI宋体-GB2312" w:hAnsi="CESI宋体-GB2312" w:eastAsia="CESI宋体-GB2312" w:cs="CESI宋体-GB2312"/>
                <w:sz w:val="24"/>
                <w:szCs w:val="24"/>
                <w:lang w:eastAsia="zh-CN"/>
              </w:rPr>
              <w:t>——基于要素禀赋差异的视角</w:t>
            </w:r>
            <w:r>
              <w:rPr>
                <w:rFonts w:hint="eastAsia" w:ascii="CESI宋体-GB2312" w:hAnsi="CESI宋体-GB2312" w:eastAsia="CESI宋体-GB2312" w:cs="CESI宋体-GB2312"/>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kern w:val="2"/>
                <w:sz w:val="24"/>
                <w:szCs w:val="24"/>
                <w:lang w:val="en" w:eastAsia="zh-CN" w:bidi="ar-SA"/>
              </w:rPr>
            </w:pPr>
            <w:r>
              <w:rPr>
                <w:rFonts w:hint="eastAsia" w:ascii="CESI宋体-GB2312" w:hAnsi="CESI宋体-GB2312" w:eastAsia="CESI宋体-GB2312" w:cs="CESI宋体-GB2312"/>
                <w:sz w:val="24"/>
                <w:szCs w:val="24"/>
                <w:lang w:eastAsia="zh-CN"/>
              </w:rPr>
              <w:t>中</w:t>
            </w:r>
          </w:p>
        </w:tc>
      </w:tr>
    </w:tbl>
    <w:p>
      <w:pPr>
        <w:pStyle w:val="5"/>
        <w:keepNext w:val="0"/>
        <w:keepLines w:val="0"/>
        <w:pageBreakBefore w:val="0"/>
        <w:widowControl w:val="0"/>
        <w:kinsoku/>
        <w:wordWrap/>
        <w:overflowPunct/>
        <w:topLinePunct w:val="0"/>
        <w:autoSpaceDE/>
        <w:autoSpaceDN/>
        <w:bidi w:val="0"/>
        <w:adjustRightInd/>
        <w:snapToGrid/>
        <w:spacing w:before="157" w:beforeLines="50"/>
        <w:ind w:firstLine="560" w:firstLineChars="200"/>
        <w:textAlignment w:val="auto"/>
        <w:rPr>
          <w:rFonts w:hint="eastAsia"/>
          <w:color w:val="auto"/>
        </w:rPr>
      </w:pPr>
      <w:bookmarkStart w:id="67" w:name="_Toc28876"/>
      <w:r>
        <w:rPr>
          <w:rFonts w:hint="eastAsia"/>
          <w:color w:val="auto"/>
        </w:rPr>
        <w:t>3.就业情况</w:t>
      </w:r>
      <w:bookmarkEnd w:id="67"/>
    </w:p>
    <w:p>
      <w:pPr>
        <w:ind w:firstLine="480"/>
        <w:rPr>
          <w:rFonts w:hint="eastAsia"/>
          <w:highlight w:val="none"/>
        </w:rPr>
      </w:pPr>
      <w:r>
        <w:rPr>
          <w:rFonts w:hint="eastAsia"/>
          <w:lang w:val="en-US" w:eastAsia="zh-CN"/>
        </w:rPr>
        <w:t>本学位点</w:t>
      </w:r>
      <w:r>
        <w:rPr>
          <w:rFonts w:hint="eastAsia"/>
          <w:lang w:val="en-US" w:eastAsia="zh-Hans"/>
        </w:rPr>
        <w:t>研究生</w:t>
      </w:r>
      <w:r>
        <w:rPr>
          <w:rFonts w:hint="eastAsia"/>
        </w:rPr>
        <w:t>具有较好的理论基础和实践能力，工作上手较快、执行能力较强，符合当前社会对应用型和复合型人才的要求</w:t>
      </w:r>
      <w:r>
        <w:rPr>
          <w:rFonts w:hint="default"/>
          <w:highlight w:val="none"/>
        </w:rPr>
        <w:t>，</w:t>
      </w:r>
      <w:r>
        <w:rPr>
          <w:rFonts w:hint="eastAsia"/>
          <w:highlight w:val="none"/>
          <w:lang w:val="en-US" w:eastAsia="zh-Hans"/>
        </w:rPr>
        <w:t>但</w:t>
      </w:r>
      <w:r>
        <w:rPr>
          <w:rFonts w:hint="eastAsia"/>
          <w:highlight w:val="none"/>
          <w:lang w:eastAsia="zh-CN"/>
        </w:rPr>
        <w:t>受</w:t>
      </w:r>
      <w:r>
        <w:rPr>
          <w:rFonts w:hint="eastAsia"/>
          <w:highlight w:val="none"/>
          <w:lang w:val="en-US" w:eastAsia="zh-CN"/>
        </w:rPr>
        <w:t>就业环境等因素影响</w:t>
      </w:r>
      <w:r>
        <w:rPr>
          <w:rFonts w:hint="default"/>
          <w:highlight w:val="none"/>
          <w:lang w:eastAsia="zh-Hans"/>
        </w:rPr>
        <w:t>，</w:t>
      </w:r>
      <w:r>
        <w:rPr>
          <w:rFonts w:hint="eastAsia"/>
          <w:lang w:val="en-US" w:eastAsia="zh-CN"/>
        </w:rPr>
        <w:t>2023年，本学位点</w:t>
      </w:r>
      <w:r>
        <w:rPr>
          <w:rFonts w:hint="eastAsia"/>
        </w:rPr>
        <w:t>毕业生总体就业质量</w:t>
      </w:r>
      <w:r>
        <w:rPr>
          <w:rFonts w:hint="eastAsia"/>
          <w:lang w:val="en-US" w:eastAsia="zh-CN"/>
        </w:rPr>
        <w:t>较去年有所下降</w:t>
      </w:r>
      <w:r>
        <w:rPr>
          <w:rFonts w:hint="eastAsia"/>
          <w:lang w:eastAsia="zh-CN"/>
        </w:rPr>
        <w:t>（</w:t>
      </w:r>
      <w:r>
        <w:rPr>
          <w:rFonts w:hint="eastAsia"/>
          <w:lang w:val="en-US" w:eastAsia="zh-CN"/>
        </w:rPr>
        <w:t>见表11</w:t>
      </w:r>
      <w:r>
        <w:rPr>
          <w:rFonts w:hint="eastAsia"/>
          <w:lang w:eastAsia="zh-CN"/>
        </w:rPr>
        <w:t>）</w:t>
      </w:r>
      <w:r>
        <w:rPr>
          <w:rFonts w:hint="eastAsia"/>
        </w:rPr>
        <w:t>，</w:t>
      </w:r>
      <w:r>
        <w:rPr>
          <w:rFonts w:hint="eastAsia"/>
          <w:highlight w:val="none"/>
          <w:lang w:val="en-US" w:eastAsia="zh-CN"/>
        </w:rPr>
        <w:t>亟需</w:t>
      </w:r>
      <w:r>
        <w:rPr>
          <w:rFonts w:hint="eastAsia"/>
          <w:highlight w:val="none"/>
          <w:lang w:val="en-US" w:eastAsia="zh-Hans"/>
        </w:rPr>
        <w:t>在</w:t>
      </w:r>
      <w:r>
        <w:rPr>
          <w:rFonts w:hint="eastAsia"/>
          <w:highlight w:val="none"/>
          <w:lang w:val="en-US" w:eastAsia="zh-CN"/>
        </w:rPr>
        <w:t>进一步拓宽研究生就业渠道、提升毕业生就业竞争力</w:t>
      </w:r>
      <w:r>
        <w:rPr>
          <w:rFonts w:hint="eastAsia"/>
          <w:highlight w:val="none"/>
          <w:lang w:val="en-US" w:eastAsia="zh-Hans"/>
        </w:rPr>
        <w:t>上精准施策</w:t>
      </w:r>
      <w:r>
        <w:rPr>
          <w:rFonts w:hint="eastAsia"/>
          <w:highlight w:val="none"/>
        </w:rPr>
        <w:t>。</w:t>
      </w:r>
    </w:p>
    <w:p>
      <w:pPr>
        <w:pStyle w:val="2"/>
        <w:rPr>
          <w:rFonts w:hint="eastAsia"/>
          <w:highlight w:val="none"/>
        </w:rPr>
      </w:pPr>
    </w:p>
    <w:p>
      <w:pPr>
        <w:pStyle w:val="2"/>
        <w:rPr>
          <w:rFonts w:hint="eastAsia"/>
          <w:highlight w:val="none"/>
        </w:rPr>
      </w:pPr>
    </w:p>
    <w:p>
      <w:pPr>
        <w:keepNext w:val="0"/>
        <w:keepLines w:val="0"/>
        <w:pageBreakBefore w:val="0"/>
        <w:widowControl w:val="0"/>
        <w:kinsoku/>
        <w:wordWrap/>
        <w:overflowPunct/>
        <w:topLinePunct w:val="0"/>
        <w:autoSpaceDE/>
        <w:autoSpaceDN/>
        <w:bidi w:val="0"/>
        <w:adjustRightInd/>
        <w:snapToGrid/>
        <w:spacing w:before="95" w:beforeLines="30" w:after="157" w:afterLines="50"/>
        <w:ind w:left="0" w:leftChars="0" w:firstLine="0" w:firstLineChars="0"/>
        <w:jc w:val="center"/>
        <w:textAlignment w:val="auto"/>
        <w:outlineLvl w:val="9"/>
        <w:rPr>
          <w:rFonts w:hint="eastAsia" w:ascii="宋体" w:hAnsi="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95" w:beforeLines="30" w:after="157" w:afterLines="50"/>
        <w:ind w:left="0" w:leftChars="0" w:firstLine="0" w:firstLineChars="0"/>
        <w:jc w:val="center"/>
        <w:textAlignment w:val="auto"/>
        <w:outlineLvl w:val="9"/>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表</w:t>
      </w:r>
      <w:r>
        <w:rPr>
          <w:rFonts w:hint="eastAsia" w:ascii="宋体" w:hAnsi="宋体" w:cs="宋体"/>
          <w:b/>
          <w:bCs/>
          <w:color w:val="auto"/>
          <w:sz w:val="24"/>
          <w:szCs w:val="24"/>
          <w:highlight w:val="none"/>
          <w:lang w:val="en-US" w:eastAsia="zh-CN"/>
        </w:rPr>
        <w:t>11</w:t>
      </w:r>
      <w:r>
        <w:rPr>
          <w:rFonts w:hint="eastAsia" w:ascii="宋体" w:hAnsi="宋体" w:cs="宋体"/>
          <w:b/>
          <w:bCs/>
          <w:color w:val="auto"/>
          <w:sz w:val="24"/>
          <w:szCs w:val="24"/>
          <w:highlight w:val="none"/>
        </w:rPr>
        <w:t xml:space="preserve"> </w:t>
      </w:r>
      <w:r>
        <w:rPr>
          <w:rFonts w:hint="eastAsia" w:ascii="宋体" w:hAnsi="宋体" w:cs="宋体"/>
          <w:b/>
          <w:bCs/>
          <w:color w:val="auto"/>
          <w:sz w:val="24"/>
          <w:szCs w:val="24"/>
          <w:highlight w:val="none"/>
          <w:lang w:val="en-US" w:eastAsia="zh-CN"/>
        </w:rPr>
        <w:t xml:space="preserve"> </w:t>
      </w:r>
      <w:r>
        <w:rPr>
          <w:rFonts w:hint="eastAsia" w:ascii="宋体" w:hAnsi="宋体" w:cs="宋体"/>
          <w:b/>
          <w:bCs/>
          <w:color w:val="auto"/>
          <w:sz w:val="24"/>
          <w:szCs w:val="24"/>
          <w:highlight w:val="none"/>
        </w:rPr>
        <w:t>就业情况一览表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853"/>
        <w:gridCol w:w="980"/>
        <w:gridCol w:w="953"/>
        <w:gridCol w:w="4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cs="宋体"/>
                <w:b/>
                <w:bCs/>
                <w:sz w:val="24"/>
              </w:rPr>
            </w:pPr>
            <w:r>
              <w:rPr>
                <w:rFonts w:hint="eastAsia" w:ascii="宋体" w:hAnsi="宋体" w:cs="宋体"/>
                <w:b/>
                <w:bCs/>
                <w:sz w:val="24"/>
              </w:rPr>
              <w:t>二级学科</w:t>
            </w: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cs="宋体"/>
                <w:b/>
                <w:bCs/>
                <w:sz w:val="24"/>
              </w:rPr>
            </w:pPr>
            <w:r>
              <w:rPr>
                <w:rFonts w:hint="eastAsia" w:ascii="宋体" w:hAnsi="宋体" w:cs="宋体"/>
                <w:b/>
                <w:bCs/>
                <w:sz w:val="24"/>
              </w:rPr>
              <w:t>毕业人数</w:t>
            </w:r>
          </w:p>
        </w:tc>
        <w:tc>
          <w:tcPr>
            <w:tcW w:w="980"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cs="宋体"/>
                <w:b/>
                <w:bCs/>
                <w:sz w:val="24"/>
              </w:rPr>
            </w:pPr>
            <w:r>
              <w:rPr>
                <w:rFonts w:hint="eastAsia" w:ascii="宋体" w:hAnsi="宋体" w:cs="宋体"/>
                <w:b/>
                <w:bCs/>
                <w:sz w:val="24"/>
              </w:rPr>
              <w:t>学位授予率</w:t>
            </w:r>
          </w:p>
        </w:tc>
        <w:tc>
          <w:tcPr>
            <w:tcW w:w="953"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cs="宋体"/>
                <w:b/>
                <w:bCs/>
                <w:sz w:val="24"/>
              </w:rPr>
            </w:pPr>
            <w:r>
              <w:rPr>
                <w:rFonts w:hint="eastAsia" w:ascii="宋体" w:hAnsi="宋体" w:cs="宋体"/>
                <w:b/>
                <w:bCs/>
                <w:sz w:val="24"/>
              </w:rPr>
              <w:t>就业率</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cs="宋体"/>
                <w:b/>
                <w:bCs/>
                <w:sz w:val="24"/>
              </w:rPr>
            </w:pPr>
            <w:r>
              <w:rPr>
                <w:rFonts w:hint="eastAsia" w:ascii="宋体" w:hAnsi="宋体" w:cs="宋体"/>
                <w:b/>
                <w:bCs/>
                <w:sz w:val="24"/>
              </w:rPr>
              <w:t>就业去向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cs="宋体"/>
                <w:sz w:val="24"/>
              </w:rPr>
            </w:pPr>
            <w:r>
              <w:rPr>
                <w:rFonts w:hint="eastAsia" w:ascii="宋体" w:hAnsi="宋体" w:cs="宋体"/>
                <w:sz w:val="24"/>
              </w:rPr>
              <w:t>区域经济学</w:t>
            </w: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lang w:eastAsia="zh-CN"/>
              </w:rPr>
            </w:pPr>
            <w:r>
              <w:rPr>
                <w:rFonts w:hint="default" w:ascii="Times New Roman" w:hAnsi="Times New Roman" w:cs="Times New Roman"/>
                <w:sz w:val="24"/>
                <w:lang w:val="en-US" w:eastAsia="zh-CN"/>
              </w:rPr>
              <w:t>1</w:t>
            </w:r>
          </w:p>
        </w:tc>
        <w:tc>
          <w:tcPr>
            <w:tcW w:w="980"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rPr>
            </w:pPr>
            <w:r>
              <w:rPr>
                <w:rFonts w:hint="default" w:ascii="Times New Roman" w:hAnsi="Times New Roman" w:cs="Times New Roman"/>
                <w:sz w:val="24"/>
              </w:rPr>
              <w:t>100%</w:t>
            </w:r>
          </w:p>
        </w:tc>
        <w:tc>
          <w:tcPr>
            <w:tcW w:w="953"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rPr>
            </w:pPr>
            <w:r>
              <w:rPr>
                <w:rFonts w:hint="default" w:ascii="Times New Roman" w:hAnsi="Times New Roman" w:cs="Times New Roman"/>
                <w:sz w:val="24"/>
              </w:rPr>
              <w:t>100%</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sz w:val="24"/>
                <w:lang w:val="en-US" w:eastAsia="zh-CN"/>
              </w:rPr>
            </w:pPr>
            <w:r>
              <w:rPr>
                <w:rFonts w:hint="eastAsia" w:ascii="宋体" w:hAnsi="宋体" w:cs="宋体"/>
                <w:sz w:val="24"/>
                <w:lang w:val="en-US" w:eastAsia="zh-CN"/>
              </w:rPr>
              <w:t>国有企业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cs="宋体"/>
                <w:sz w:val="24"/>
              </w:rPr>
            </w:pPr>
            <w:r>
              <w:rPr>
                <w:rFonts w:hint="eastAsia" w:ascii="宋体" w:hAnsi="宋体" w:cs="宋体"/>
                <w:sz w:val="24"/>
              </w:rPr>
              <w:t>产业经济学</w:t>
            </w: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lang w:eastAsia="zh-CN"/>
              </w:rPr>
            </w:pPr>
            <w:r>
              <w:rPr>
                <w:rFonts w:hint="default" w:ascii="Times New Roman" w:hAnsi="Times New Roman" w:cs="Times New Roman"/>
                <w:sz w:val="24"/>
                <w:lang w:val="en-US" w:eastAsia="zh-CN"/>
              </w:rPr>
              <w:t>5</w:t>
            </w:r>
          </w:p>
        </w:tc>
        <w:tc>
          <w:tcPr>
            <w:tcW w:w="980"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rPr>
            </w:pPr>
            <w:r>
              <w:rPr>
                <w:rFonts w:hint="default" w:ascii="Times New Roman" w:hAnsi="Times New Roman" w:cs="Times New Roman"/>
                <w:sz w:val="24"/>
              </w:rPr>
              <w:t>100%</w:t>
            </w:r>
          </w:p>
        </w:tc>
        <w:tc>
          <w:tcPr>
            <w:tcW w:w="953"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rPr>
            </w:pPr>
            <w:r>
              <w:rPr>
                <w:rFonts w:hint="default" w:ascii="Times New Roman" w:hAnsi="Times New Roman" w:cs="Times New Roman"/>
                <w:sz w:val="24"/>
                <w:lang w:val="en-US" w:eastAsia="zh-CN"/>
              </w:rPr>
              <w:t>80</w:t>
            </w:r>
            <w:r>
              <w:rPr>
                <w:rFonts w:hint="default" w:ascii="Times New Roman" w:hAnsi="Times New Roman" w:cs="Times New Roman"/>
                <w:sz w:val="24"/>
              </w:rPr>
              <w:t>%</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cs="宋体"/>
                <w:sz w:val="24"/>
              </w:rPr>
            </w:pPr>
            <w:r>
              <w:rPr>
                <w:rFonts w:hint="eastAsia" w:ascii="宋体" w:hAnsi="宋体" w:cs="宋体"/>
                <w:sz w:val="24"/>
                <w:lang w:val="en-US" w:eastAsia="zh-CN"/>
              </w:rPr>
              <w:t>事业单位</w:t>
            </w:r>
            <w:r>
              <w:rPr>
                <w:rFonts w:hint="eastAsia" w:ascii="宋体" w:hAnsi="宋体" w:cs="宋体"/>
                <w:sz w:val="24"/>
              </w:rPr>
              <w:t>、国有企业、</w:t>
            </w:r>
            <w:r>
              <w:rPr>
                <w:rFonts w:hint="eastAsia" w:ascii="宋体" w:hAnsi="宋体" w:cs="宋体"/>
                <w:sz w:val="24"/>
                <w:lang w:val="en-US" w:eastAsia="zh-CN"/>
              </w:rPr>
              <w:t>其他企业/股份有限公司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cs="宋体"/>
                <w:sz w:val="24"/>
              </w:rPr>
            </w:pPr>
            <w:r>
              <w:rPr>
                <w:rFonts w:hint="eastAsia" w:ascii="宋体" w:hAnsi="宋体" w:cs="宋体"/>
                <w:sz w:val="24"/>
              </w:rPr>
              <w:t>国际贸易学</w:t>
            </w: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rPr>
            </w:pPr>
            <w:r>
              <w:rPr>
                <w:rFonts w:hint="default" w:ascii="Times New Roman" w:hAnsi="Times New Roman" w:cs="Times New Roman"/>
                <w:sz w:val="24"/>
              </w:rPr>
              <w:t>2</w:t>
            </w:r>
          </w:p>
        </w:tc>
        <w:tc>
          <w:tcPr>
            <w:tcW w:w="980"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rPr>
            </w:pPr>
            <w:r>
              <w:rPr>
                <w:rFonts w:hint="default" w:ascii="Times New Roman" w:hAnsi="Times New Roman" w:cs="Times New Roman"/>
                <w:sz w:val="24"/>
              </w:rPr>
              <w:t>100%</w:t>
            </w:r>
          </w:p>
        </w:tc>
        <w:tc>
          <w:tcPr>
            <w:tcW w:w="953"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rPr>
            </w:pPr>
            <w:r>
              <w:rPr>
                <w:rFonts w:hint="default" w:ascii="Times New Roman" w:hAnsi="Times New Roman" w:cs="Times New Roman"/>
                <w:sz w:val="24"/>
                <w:lang w:val="en-US" w:eastAsia="zh-CN"/>
              </w:rPr>
              <w:t>50</w:t>
            </w:r>
            <w:r>
              <w:rPr>
                <w:rFonts w:hint="default" w:ascii="Times New Roman" w:hAnsi="Times New Roman" w:cs="Times New Roman"/>
                <w:sz w:val="24"/>
              </w:rPr>
              <w:t>%</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cs="宋体"/>
                <w:sz w:val="24"/>
              </w:rPr>
            </w:pPr>
            <w:r>
              <w:rPr>
                <w:rFonts w:hint="eastAsia" w:ascii="宋体" w:hAnsi="宋体" w:cs="宋体"/>
                <w:sz w:val="24"/>
              </w:rPr>
              <w:t>国有企业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cs="宋体"/>
                <w:sz w:val="24"/>
              </w:rPr>
            </w:pPr>
            <w:r>
              <w:rPr>
                <w:rFonts w:hint="eastAsia" w:ascii="宋体" w:hAnsi="宋体" w:cs="宋体"/>
                <w:sz w:val="24"/>
              </w:rPr>
              <w:t>金融学</w:t>
            </w: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rPr>
            </w:pPr>
            <w:r>
              <w:rPr>
                <w:rFonts w:hint="default" w:ascii="Times New Roman" w:hAnsi="Times New Roman" w:cs="Times New Roman"/>
                <w:sz w:val="24"/>
              </w:rPr>
              <w:t>2</w:t>
            </w:r>
          </w:p>
        </w:tc>
        <w:tc>
          <w:tcPr>
            <w:tcW w:w="980"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rPr>
            </w:pPr>
            <w:r>
              <w:rPr>
                <w:rFonts w:hint="default" w:ascii="Times New Roman" w:hAnsi="Times New Roman" w:cs="Times New Roman"/>
                <w:sz w:val="24"/>
              </w:rPr>
              <w:t>100%</w:t>
            </w:r>
          </w:p>
        </w:tc>
        <w:tc>
          <w:tcPr>
            <w:tcW w:w="953"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rPr>
            </w:pPr>
            <w:r>
              <w:rPr>
                <w:rFonts w:hint="default" w:ascii="Times New Roman" w:hAnsi="Times New Roman" w:cs="Times New Roman"/>
                <w:sz w:val="24"/>
              </w:rPr>
              <w:t>100%</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cs="宋体"/>
                <w:sz w:val="24"/>
              </w:rPr>
            </w:pPr>
            <w:r>
              <w:rPr>
                <w:rFonts w:hint="eastAsia" w:ascii="宋体" w:hAnsi="宋体" w:cs="宋体"/>
                <w:sz w:val="24"/>
                <w:lang w:val="en-US" w:eastAsia="zh-CN"/>
              </w:rPr>
              <w:t>其他企业/股份有限公司</w:t>
            </w:r>
          </w:p>
        </w:tc>
      </w:tr>
    </w:tbl>
    <w:p>
      <w:pPr>
        <w:keepNext w:val="0"/>
        <w:keepLines w:val="0"/>
        <w:pageBreakBefore w:val="0"/>
        <w:widowControl w:val="0"/>
        <w:kinsoku/>
        <w:wordWrap/>
        <w:overflowPunct/>
        <w:topLinePunct w:val="0"/>
        <w:autoSpaceDE/>
        <w:autoSpaceDN/>
        <w:bidi w:val="0"/>
        <w:adjustRightInd/>
        <w:snapToGrid/>
        <w:spacing w:before="157" w:beforeLines="50"/>
        <w:ind w:firstLine="480"/>
        <w:textAlignment w:val="auto"/>
        <w:rPr>
          <w:rFonts w:hint="eastAsia"/>
        </w:rPr>
      </w:pPr>
      <w:bookmarkStart w:id="68" w:name="_Toc101036329"/>
      <w:r>
        <w:rPr>
          <w:rFonts w:hint="eastAsia"/>
          <w:color w:val="auto"/>
        </w:rPr>
        <w:t>202</w:t>
      </w:r>
      <w:r>
        <w:rPr>
          <w:rFonts w:hint="eastAsia"/>
          <w:color w:val="auto"/>
          <w:lang w:val="en-US" w:eastAsia="zh-CN"/>
        </w:rPr>
        <w:t>3</w:t>
      </w:r>
      <w:r>
        <w:rPr>
          <w:rFonts w:hint="eastAsia"/>
          <w:color w:val="auto"/>
        </w:rPr>
        <w:t>年，本学位点共1</w:t>
      </w:r>
      <w:r>
        <w:rPr>
          <w:rFonts w:hint="eastAsia"/>
          <w:color w:val="auto"/>
          <w:lang w:val="en-US" w:eastAsia="zh-CN"/>
        </w:rPr>
        <w:t>0</w:t>
      </w:r>
      <w:r>
        <w:rPr>
          <w:rFonts w:hint="eastAsia"/>
          <w:color w:val="auto"/>
        </w:rPr>
        <w:t>人毕业，学位授予率100%，就业率</w:t>
      </w:r>
      <w:r>
        <w:rPr>
          <w:rFonts w:hint="eastAsia"/>
          <w:color w:val="auto"/>
          <w:lang w:val="en-US" w:eastAsia="zh-CN"/>
        </w:rPr>
        <w:t>80</w:t>
      </w:r>
      <w:r>
        <w:rPr>
          <w:rFonts w:hint="eastAsia"/>
          <w:color w:val="auto"/>
        </w:rPr>
        <w:t>%。就业去向良好，</w:t>
      </w:r>
      <w:r>
        <w:rPr>
          <w:rFonts w:hint="eastAsia"/>
          <w:color w:val="auto"/>
          <w:lang w:val="en-US" w:eastAsia="zh-CN"/>
        </w:rPr>
        <w:t>10</w:t>
      </w:r>
      <w:r>
        <w:rPr>
          <w:rFonts w:hint="eastAsia"/>
          <w:color w:val="auto"/>
        </w:rPr>
        <w:t>%就职于其他事业单位</w:t>
      </w:r>
      <w:r>
        <w:rPr>
          <w:rFonts w:hint="default"/>
          <w:color w:val="auto"/>
          <w:lang w:eastAsia="zh-CN"/>
        </w:rPr>
        <w:t>，</w:t>
      </w:r>
      <w:r>
        <w:rPr>
          <w:rFonts w:hint="eastAsia"/>
          <w:color w:val="auto"/>
          <w:lang w:val="en-US" w:eastAsia="zh-CN"/>
        </w:rPr>
        <w:t>40</w:t>
      </w:r>
      <w:r>
        <w:rPr>
          <w:rFonts w:hint="eastAsia"/>
          <w:color w:val="auto"/>
        </w:rPr>
        <w:t>%就职于地市（州、盟、省辖市）厅局属的国有企业，</w:t>
      </w:r>
      <w:r>
        <w:rPr>
          <w:rFonts w:hint="eastAsia"/>
          <w:color w:val="auto"/>
          <w:lang w:val="en-US" w:eastAsia="zh-CN"/>
        </w:rPr>
        <w:t>30</w:t>
      </w:r>
      <w:r>
        <w:rPr>
          <w:rFonts w:hint="eastAsia"/>
          <w:color w:val="auto"/>
        </w:rPr>
        <w:t>%</w:t>
      </w:r>
      <w:r>
        <w:rPr>
          <w:rFonts w:hint="eastAsia"/>
          <w:color w:val="auto"/>
          <w:lang w:val="en-US" w:eastAsia="zh-CN"/>
        </w:rPr>
        <w:t>就职于其他企业/股份有限公司</w:t>
      </w:r>
      <w:r>
        <w:rPr>
          <w:rFonts w:hint="eastAsia"/>
          <w:color w:val="auto"/>
        </w:rPr>
        <w:t>。</w:t>
      </w:r>
    </w:p>
    <w:p>
      <w:pPr>
        <w:pStyle w:val="3"/>
        <w:keepNext w:val="0"/>
        <w:keepLines w:val="0"/>
        <w:pageBreakBefore w:val="0"/>
        <w:widowControl w:val="0"/>
        <w:kinsoku/>
        <w:wordWrap/>
        <w:overflowPunct/>
        <w:topLinePunct w:val="0"/>
        <w:autoSpaceDE/>
        <w:autoSpaceDN/>
        <w:bidi w:val="0"/>
        <w:adjustRightInd/>
        <w:snapToGrid/>
        <w:spacing w:before="157" w:beforeLines="50"/>
        <w:ind w:firstLine="723" w:firstLineChars="200"/>
        <w:textAlignment w:val="auto"/>
        <w:rPr>
          <w:rFonts w:hint="eastAsia"/>
        </w:rPr>
      </w:pPr>
      <w:bookmarkStart w:id="69" w:name="_Toc26452"/>
      <w:bookmarkStart w:id="70" w:name="_Toc32001"/>
      <w:bookmarkStart w:id="71" w:name="_Toc14727"/>
      <w:r>
        <w:rPr>
          <w:rFonts w:hint="eastAsia"/>
          <w:lang w:val="en-US" w:eastAsia="zh-CN"/>
        </w:rPr>
        <w:t>四</w:t>
      </w:r>
      <w:r>
        <w:rPr>
          <w:rFonts w:hint="eastAsia"/>
        </w:rPr>
        <w:t>、学位授权点教育质量评估与改进计划</w:t>
      </w:r>
      <w:bookmarkEnd w:id="68"/>
      <w:bookmarkEnd w:id="69"/>
      <w:bookmarkEnd w:id="70"/>
      <w:bookmarkEnd w:id="71"/>
    </w:p>
    <w:p>
      <w:pPr>
        <w:pStyle w:val="4"/>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rPr>
      </w:pPr>
      <w:bookmarkStart w:id="72" w:name="_Toc101036330"/>
      <w:bookmarkStart w:id="73" w:name="_Toc3713"/>
      <w:bookmarkStart w:id="74" w:name="_Toc2666"/>
      <w:bookmarkStart w:id="75" w:name="_Toc29329"/>
      <w:r>
        <w:rPr>
          <w:rFonts w:hint="eastAsia"/>
        </w:rPr>
        <w:t>（一）自我评估进展和</w:t>
      </w:r>
      <w:r>
        <w:rPr>
          <w:rFonts w:hint="eastAsia"/>
          <w:lang w:val="en-US" w:eastAsia="zh-Hans"/>
        </w:rPr>
        <w:t>存在</w:t>
      </w:r>
      <w:r>
        <w:rPr>
          <w:rFonts w:hint="eastAsia"/>
        </w:rPr>
        <w:t>问题分析</w:t>
      </w:r>
      <w:bookmarkEnd w:id="72"/>
      <w:bookmarkEnd w:id="73"/>
      <w:bookmarkEnd w:id="74"/>
      <w:bookmarkEnd w:id="75"/>
    </w:p>
    <w:p>
      <w:pPr>
        <w:pStyle w:val="5"/>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rPr>
      </w:pPr>
      <w:bookmarkStart w:id="76" w:name="_Toc6237"/>
      <w:r>
        <w:rPr>
          <w:rFonts w:hint="eastAsia"/>
        </w:rPr>
        <w:t>1.评估进展</w:t>
      </w:r>
      <w:bookmarkEnd w:id="76"/>
    </w:p>
    <w:p>
      <w:pPr>
        <w:ind w:firstLine="480"/>
        <w:rPr>
          <w:rFonts w:hint="eastAsia"/>
        </w:rPr>
      </w:pPr>
      <w:r>
        <w:rPr>
          <w:rFonts w:hint="eastAsia"/>
        </w:rPr>
        <w:t>本学位点的自我评估工作按照《2020-2025年广东省社会科学院学位授权点自我评估工作方案》</w:t>
      </w:r>
      <w:r>
        <w:rPr>
          <w:rFonts w:hint="eastAsia"/>
          <w:lang w:eastAsia="zh-CN"/>
        </w:rPr>
        <w:t>（</w:t>
      </w:r>
      <w:r>
        <w:rPr>
          <w:rFonts w:hint="eastAsia"/>
          <w:lang w:val="en-US" w:eastAsia="zh-CN"/>
        </w:rPr>
        <w:t>以下简称“《工作方案》”</w:t>
      </w:r>
      <w:r>
        <w:rPr>
          <w:rFonts w:hint="eastAsia"/>
          <w:lang w:eastAsia="zh-CN"/>
        </w:rPr>
        <w:t>）</w:t>
      </w:r>
      <w:r>
        <w:rPr>
          <w:rFonts w:hint="eastAsia"/>
        </w:rPr>
        <w:t>的时间节点</w:t>
      </w:r>
      <w:r>
        <w:rPr>
          <w:rFonts w:hint="eastAsia"/>
          <w:lang w:val="en-US" w:eastAsia="zh-CN"/>
        </w:rPr>
        <w:t>稳</w:t>
      </w:r>
      <w:r>
        <w:rPr>
          <w:rFonts w:hint="eastAsia"/>
        </w:rPr>
        <w:t>步推进</w:t>
      </w:r>
      <w:r>
        <w:rPr>
          <w:rFonts w:hint="eastAsia"/>
          <w:lang w:eastAsia="zh-CN"/>
        </w:rPr>
        <w:t>（</w:t>
      </w:r>
      <w:r>
        <w:rPr>
          <w:rFonts w:hint="eastAsia"/>
        </w:rPr>
        <w:t>见表</w:t>
      </w:r>
      <w:r>
        <w:rPr>
          <w:rFonts w:hint="eastAsia"/>
          <w:lang w:val="en-US" w:eastAsia="zh-CN"/>
        </w:rPr>
        <w:t>12</w:t>
      </w:r>
      <w:r>
        <w:rPr>
          <w:rFonts w:hint="eastAsia"/>
          <w:lang w:eastAsia="zh-CN"/>
        </w:rPr>
        <w:t>）</w:t>
      </w:r>
      <w:r>
        <w:rPr>
          <w:rFonts w:hint="eastAsia"/>
        </w:rPr>
        <w:t>。当前，已进行至202</w:t>
      </w:r>
      <w:r>
        <w:rPr>
          <w:rFonts w:hint="eastAsia"/>
          <w:lang w:val="en-US" w:eastAsia="zh-CN"/>
        </w:rPr>
        <w:t>3</w:t>
      </w:r>
      <w:r>
        <w:rPr>
          <w:rFonts w:hint="eastAsia"/>
        </w:rPr>
        <w:t>年的年度报告编制阶段。编制年度建设报告</w:t>
      </w:r>
      <w:r>
        <w:rPr>
          <w:rFonts w:hint="eastAsia"/>
          <w:lang w:val="en-US" w:eastAsia="zh-Hans"/>
        </w:rPr>
        <w:t>的主旨</w:t>
      </w:r>
      <w:r>
        <w:rPr>
          <w:rFonts w:hint="eastAsia"/>
        </w:rPr>
        <w:t>，</w:t>
      </w:r>
      <w:r>
        <w:rPr>
          <w:rFonts w:hint="eastAsia"/>
          <w:lang w:val="en-US" w:eastAsia="zh-Hans"/>
        </w:rPr>
        <w:t>是</w:t>
      </w:r>
      <w:r>
        <w:rPr>
          <w:rFonts w:hint="eastAsia"/>
        </w:rPr>
        <w:t>发现学位点年度研究生培养、导师队伍建设以及研究生管理服务等方面存在的问题，提出解决方案，及时整改完善</w:t>
      </w:r>
      <w:r>
        <w:rPr>
          <w:rFonts w:hint="eastAsia"/>
          <w:lang w:eastAsia="zh-CN"/>
        </w:rPr>
        <w:t>，</w:t>
      </w:r>
      <w:r>
        <w:rPr>
          <w:rFonts w:hint="eastAsia"/>
          <w:lang w:val="en-US" w:eastAsia="zh-CN"/>
        </w:rPr>
        <w:t>以达到</w:t>
      </w:r>
      <w:r>
        <w:rPr>
          <w:rFonts w:hint="eastAsia"/>
        </w:rPr>
        <w:t>以评促建，以评促改，以评促管，以评促升</w:t>
      </w:r>
      <w:r>
        <w:rPr>
          <w:rFonts w:hint="eastAsia"/>
          <w:lang w:val="en-US" w:eastAsia="zh-CN"/>
        </w:rPr>
        <w:t>的目的</w:t>
      </w:r>
      <w:r>
        <w:rPr>
          <w:rFonts w:hint="eastAsia"/>
        </w:rPr>
        <w:t>。</w:t>
      </w:r>
    </w:p>
    <w:p>
      <w:pPr>
        <w:keepNext w:val="0"/>
        <w:keepLines w:val="0"/>
        <w:pageBreakBefore w:val="0"/>
        <w:widowControl w:val="0"/>
        <w:kinsoku/>
        <w:wordWrap/>
        <w:overflowPunct/>
        <w:topLinePunct w:val="0"/>
        <w:autoSpaceDE/>
        <w:autoSpaceDN/>
        <w:bidi w:val="0"/>
        <w:adjustRightInd/>
        <w:snapToGrid/>
        <w:spacing w:before="0" w:beforeLines="0" w:after="157" w:afterLines="50"/>
        <w:ind w:left="0" w:leftChars="0" w:firstLine="0" w:firstLineChars="0"/>
        <w:jc w:val="center"/>
        <w:textAlignment w:val="auto"/>
        <w:outlineLvl w:val="9"/>
        <w:rPr>
          <w:rFonts w:hint="eastAsia"/>
          <w:b/>
          <w:bCs/>
        </w:rPr>
      </w:pPr>
      <w:r>
        <w:rPr>
          <w:rFonts w:hint="eastAsia"/>
          <w:b/>
          <w:bCs/>
        </w:rPr>
        <w:t>表</w:t>
      </w:r>
      <w:r>
        <w:rPr>
          <w:rFonts w:hint="eastAsia"/>
          <w:b/>
          <w:bCs/>
          <w:lang w:val="en-US" w:eastAsia="zh-CN"/>
        </w:rPr>
        <w:t>12</w:t>
      </w:r>
      <w:r>
        <w:rPr>
          <w:rFonts w:hint="eastAsia"/>
          <w:b/>
          <w:bCs/>
        </w:rPr>
        <w:t xml:space="preserve">  2021-2025年自我评估工作时间节点</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467"/>
        <w:gridCol w:w="4077"/>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b/>
                <w:bCs/>
                <w:sz w:val="24"/>
                <w:szCs w:val="32"/>
              </w:rPr>
            </w:pPr>
            <w:r>
              <w:rPr>
                <w:rFonts w:hint="default" w:ascii="Times New Roman" w:hAnsi="Times New Roman" w:cs="Times New Roman"/>
                <w:b/>
                <w:bCs/>
                <w:sz w:val="24"/>
                <w:szCs w:val="32"/>
              </w:rPr>
              <w:t>工作时间</w:t>
            </w:r>
          </w:p>
        </w:tc>
        <w:tc>
          <w:tcPr>
            <w:tcW w:w="146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b/>
                <w:bCs/>
                <w:sz w:val="24"/>
                <w:szCs w:val="32"/>
              </w:rPr>
            </w:pPr>
            <w:r>
              <w:rPr>
                <w:rFonts w:hint="default" w:ascii="Times New Roman" w:hAnsi="Times New Roman" w:cs="Times New Roman"/>
                <w:b/>
                <w:bCs/>
                <w:sz w:val="24"/>
                <w:szCs w:val="32"/>
              </w:rPr>
              <w:t>工作概要</w:t>
            </w:r>
          </w:p>
        </w:tc>
        <w:tc>
          <w:tcPr>
            <w:tcW w:w="407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b/>
                <w:bCs/>
                <w:sz w:val="24"/>
                <w:szCs w:val="32"/>
              </w:rPr>
            </w:pPr>
            <w:r>
              <w:rPr>
                <w:rFonts w:hint="default" w:ascii="Times New Roman" w:hAnsi="Times New Roman" w:cs="Times New Roman"/>
                <w:b/>
                <w:bCs/>
                <w:sz w:val="24"/>
                <w:szCs w:val="32"/>
              </w:rPr>
              <w:t>工作内容</w:t>
            </w:r>
          </w:p>
        </w:tc>
        <w:tc>
          <w:tcPr>
            <w:tcW w:w="1639"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3" w:hRule="atLeast"/>
          <w:jc w:val="center"/>
        </w:trPr>
        <w:tc>
          <w:tcPr>
            <w:tcW w:w="142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2021年2月</w:t>
            </w:r>
          </w:p>
        </w:tc>
        <w:tc>
          <w:tcPr>
            <w:tcW w:w="146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学习文件</w:t>
            </w:r>
          </w:p>
        </w:tc>
        <w:tc>
          <w:tcPr>
            <w:tcW w:w="407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sz w:val="24"/>
                <w:szCs w:val="32"/>
              </w:rPr>
            </w:pPr>
            <w:r>
              <w:rPr>
                <w:rFonts w:hint="default" w:ascii="Times New Roman" w:hAnsi="Times New Roman" w:cs="Times New Roman"/>
                <w:sz w:val="24"/>
                <w:szCs w:val="32"/>
              </w:rPr>
              <w:t>《国务院学位委员会 教育部关于开展2020-2025年学位授权点周期性合格评估工作的通知》（学位〔2020〕26号）、《学位授权点合格评估办法》（学位〔2020〕25号）</w:t>
            </w:r>
          </w:p>
        </w:tc>
        <w:tc>
          <w:tcPr>
            <w:tcW w:w="1639"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评估工作领导小组、研究生部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5" w:hRule="atLeast"/>
          <w:jc w:val="center"/>
        </w:trPr>
        <w:tc>
          <w:tcPr>
            <w:tcW w:w="142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2021-2025年3月15日前</w:t>
            </w:r>
          </w:p>
        </w:tc>
        <w:tc>
          <w:tcPr>
            <w:tcW w:w="146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编制年度报告上报</w:t>
            </w:r>
          </w:p>
        </w:tc>
        <w:tc>
          <w:tcPr>
            <w:tcW w:w="407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sz w:val="24"/>
                <w:szCs w:val="32"/>
              </w:rPr>
            </w:pPr>
            <w:r>
              <w:rPr>
                <w:rFonts w:hint="default" w:ascii="Times New Roman" w:hAnsi="Times New Roman" w:cs="Times New Roman"/>
                <w:sz w:val="24"/>
                <w:szCs w:val="32"/>
              </w:rPr>
              <w:t>各学位授权点编制《研究生教育发展质量年度报告》、《学位授权点建设年度报告》，上报省教育厅备案，脱密后按年度在本单位门户网站发布</w:t>
            </w:r>
          </w:p>
        </w:tc>
        <w:tc>
          <w:tcPr>
            <w:tcW w:w="1639"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评估工作领导小组、研究生部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142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2021年4月6日前</w:t>
            </w:r>
          </w:p>
        </w:tc>
        <w:tc>
          <w:tcPr>
            <w:tcW w:w="146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上报参评点</w:t>
            </w:r>
          </w:p>
        </w:tc>
        <w:tc>
          <w:tcPr>
            <w:tcW w:w="407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sz w:val="24"/>
                <w:szCs w:val="32"/>
              </w:rPr>
            </w:pPr>
            <w:r>
              <w:rPr>
                <w:rFonts w:hint="default" w:ascii="Times New Roman" w:hAnsi="Times New Roman" w:cs="Times New Roman"/>
                <w:sz w:val="24"/>
                <w:szCs w:val="32"/>
              </w:rPr>
              <w:t>应用经济学（020200）、社会学（030300）、中国史（060200）3个一级学科授权点参评。报省教育厅备案</w:t>
            </w:r>
          </w:p>
        </w:tc>
        <w:tc>
          <w:tcPr>
            <w:tcW w:w="1639"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142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2021年5月10前</w:t>
            </w:r>
          </w:p>
        </w:tc>
        <w:tc>
          <w:tcPr>
            <w:tcW w:w="146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起草、最后确定工作方案</w:t>
            </w:r>
          </w:p>
        </w:tc>
        <w:tc>
          <w:tcPr>
            <w:tcW w:w="407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sz w:val="24"/>
                <w:szCs w:val="32"/>
              </w:rPr>
            </w:pPr>
            <w:r>
              <w:rPr>
                <w:rFonts w:hint="default" w:ascii="Times New Roman" w:hAnsi="Times New Roman" w:cs="Times New Roman"/>
                <w:sz w:val="24"/>
                <w:szCs w:val="32"/>
              </w:rPr>
              <w:t>起草、确定《评估工作方案》，上报“全国学位与研究生教育质量信息平台”向社会公布</w:t>
            </w:r>
          </w:p>
        </w:tc>
        <w:tc>
          <w:tcPr>
            <w:tcW w:w="1639"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评估工作领导小组、研究生部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142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2021年4-5月</w:t>
            </w:r>
          </w:p>
        </w:tc>
        <w:tc>
          <w:tcPr>
            <w:tcW w:w="146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聘请专家，初步沟通</w:t>
            </w:r>
          </w:p>
        </w:tc>
        <w:tc>
          <w:tcPr>
            <w:tcW w:w="407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sz w:val="24"/>
                <w:szCs w:val="32"/>
              </w:rPr>
            </w:pPr>
            <w:r>
              <w:rPr>
                <w:rFonts w:hint="default" w:ascii="Times New Roman" w:hAnsi="Times New Roman" w:cs="Times New Roman"/>
                <w:sz w:val="24"/>
                <w:szCs w:val="32"/>
              </w:rPr>
              <w:t>聘请不少于5名本学科领域水平较高专家，进行初步沟通，听取对评估工作安排的意见</w:t>
            </w:r>
          </w:p>
        </w:tc>
        <w:tc>
          <w:tcPr>
            <w:tcW w:w="1639"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各导师组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42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2021年7月-2022年9月</w:t>
            </w:r>
          </w:p>
        </w:tc>
        <w:tc>
          <w:tcPr>
            <w:tcW w:w="146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准备材料，进行自我评估</w:t>
            </w:r>
          </w:p>
        </w:tc>
        <w:tc>
          <w:tcPr>
            <w:tcW w:w="407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sz w:val="24"/>
                <w:szCs w:val="32"/>
              </w:rPr>
            </w:pPr>
            <w:r>
              <w:rPr>
                <w:rFonts w:hint="default" w:ascii="Times New Roman" w:hAnsi="Times New Roman" w:cs="Times New Roman"/>
                <w:sz w:val="24"/>
                <w:szCs w:val="32"/>
              </w:rPr>
              <w:t>根据最终确定的评估安排和要求，组织自我评估材料。评估材料提前发送专家，根据专家意见，补充完善自评材料</w:t>
            </w:r>
          </w:p>
        </w:tc>
        <w:tc>
          <w:tcPr>
            <w:tcW w:w="1639"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各导师组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2022年3月、2025年3月底</w:t>
            </w:r>
          </w:p>
        </w:tc>
        <w:tc>
          <w:tcPr>
            <w:tcW w:w="146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填报《学位授权点基本状态信息表》</w:t>
            </w:r>
          </w:p>
        </w:tc>
        <w:tc>
          <w:tcPr>
            <w:tcW w:w="407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sz w:val="24"/>
                <w:szCs w:val="32"/>
              </w:rPr>
            </w:pPr>
            <w:r>
              <w:rPr>
                <w:rFonts w:hint="default" w:ascii="Times New Roman" w:hAnsi="Times New Roman" w:cs="Times New Roman"/>
                <w:sz w:val="24"/>
                <w:szCs w:val="32"/>
              </w:rPr>
              <w:t>填报《学位授权点基本状态信息表》上报国务院学位委员会办公室、省学位委员会</w:t>
            </w:r>
          </w:p>
        </w:tc>
        <w:tc>
          <w:tcPr>
            <w:tcW w:w="1639"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各导师组、研究生部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6" w:hRule="atLeast"/>
          <w:jc w:val="center"/>
        </w:trPr>
        <w:tc>
          <w:tcPr>
            <w:tcW w:w="142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2022年9月-2023年5月</w:t>
            </w:r>
          </w:p>
        </w:tc>
        <w:tc>
          <w:tcPr>
            <w:tcW w:w="146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专家评估</w:t>
            </w:r>
          </w:p>
        </w:tc>
        <w:tc>
          <w:tcPr>
            <w:tcW w:w="407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sz w:val="24"/>
                <w:szCs w:val="32"/>
              </w:rPr>
            </w:pPr>
            <w:r>
              <w:rPr>
                <w:rFonts w:hint="default" w:ascii="Times New Roman" w:hAnsi="Times New Roman" w:cs="Times New Roman"/>
                <w:sz w:val="24"/>
                <w:szCs w:val="32"/>
              </w:rPr>
              <w:t>评估专家听取总体汇报、与师生和管理人员座谈、查阅有关资料等方式，了解学位授权点基本情况。专家组经过充分讨论，提出诊断式意见，指出问题与不足，并提出改进建议。</w:t>
            </w:r>
          </w:p>
        </w:tc>
        <w:tc>
          <w:tcPr>
            <w:tcW w:w="1639"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评估专家、各导师组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2024年1月-2024年7月</w:t>
            </w:r>
          </w:p>
        </w:tc>
        <w:tc>
          <w:tcPr>
            <w:tcW w:w="146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进行总结性评估，得出评估结果并进行改进和提升</w:t>
            </w:r>
          </w:p>
        </w:tc>
        <w:tc>
          <w:tcPr>
            <w:tcW w:w="407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sz w:val="24"/>
                <w:szCs w:val="32"/>
              </w:rPr>
            </w:pPr>
            <w:r>
              <w:rPr>
                <w:rFonts w:hint="default" w:ascii="Times New Roman" w:hAnsi="Times New Roman" w:cs="Times New Roman"/>
                <w:sz w:val="24"/>
                <w:szCs w:val="32"/>
              </w:rPr>
              <w:t>召开院学位授权点评估工作领导小组会议，根据专家评议意见，确定各授权点评估结果，完成学位授权点改进提升方案</w:t>
            </w:r>
          </w:p>
        </w:tc>
        <w:tc>
          <w:tcPr>
            <w:tcW w:w="1639"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评估工作领导小组、各导师组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2024年7月-2025年3月底前</w:t>
            </w:r>
          </w:p>
        </w:tc>
        <w:tc>
          <w:tcPr>
            <w:tcW w:w="146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编写总结报告并上报</w:t>
            </w:r>
          </w:p>
        </w:tc>
        <w:tc>
          <w:tcPr>
            <w:tcW w:w="407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sz w:val="24"/>
                <w:szCs w:val="32"/>
              </w:rPr>
            </w:pPr>
            <w:r>
              <w:rPr>
                <w:rFonts w:hint="default" w:ascii="Times New Roman" w:hAnsi="Times New Roman" w:cs="Times New Roman"/>
                <w:sz w:val="24"/>
                <w:szCs w:val="32"/>
              </w:rPr>
              <w:t>编写《学位授权点自我评估总结报告》、填写《学位授权点自我评估汇总表》等，上报“全国学位与研究生教育质量信息平台”向社会公开</w:t>
            </w:r>
          </w:p>
        </w:tc>
        <w:tc>
          <w:tcPr>
            <w:tcW w:w="1639"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评估工作领导小组、研究生部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2025年3月后</w:t>
            </w:r>
          </w:p>
        </w:tc>
        <w:tc>
          <w:tcPr>
            <w:tcW w:w="146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接受省学位委员会抽评</w:t>
            </w:r>
          </w:p>
        </w:tc>
        <w:tc>
          <w:tcPr>
            <w:tcW w:w="4077"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sz w:val="24"/>
                <w:szCs w:val="32"/>
              </w:rPr>
            </w:pPr>
            <w:r>
              <w:rPr>
                <w:rFonts w:hint="default" w:ascii="Times New Roman" w:hAnsi="Times New Roman" w:cs="Times New Roman"/>
                <w:sz w:val="24"/>
                <w:szCs w:val="32"/>
              </w:rPr>
              <w:t>评价材料为各学位授予单位的《研究生教育发展质量年度报告》、《学位授权点建设年度报告》、《学位授权点自我评估总结报告》、《基本状况信息表》、连续5年的研究生培养方案、自评专家意见和改进方案</w:t>
            </w:r>
          </w:p>
        </w:tc>
        <w:tc>
          <w:tcPr>
            <w:tcW w:w="1639"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省学位委员会</w:t>
            </w:r>
          </w:p>
        </w:tc>
      </w:tr>
    </w:tbl>
    <w:p>
      <w:pPr>
        <w:keepNext w:val="0"/>
        <w:keepLines w:val="0"/>
        <w:pageBreakBefore w:val="0"/>
        <w:widowControl w:val="0"/>
        <w:kinsoku/>
        <w:wordWrap/>
        <w:overflowPunct/>
        <w:topLinePunct w:val="0"/>
        <w:autoSpaceDE/>
        <w:autoSpaceDN/>
        <w:bidi w:val="0"/>
        <w:adjustRightInd/>
        <w:snapToGrid/>
        <w:spacing w:before="157" w:beforeLines="50" w:after="95" w:afterLines="30"/>
        <w:ind w:firstLine="480"/>
        <w:textAlignment w:val="auto"/>
        <w:rPr>
          <w:rFonts w:hint="eastAsia" w:eastAsia="宋体"/>
          <w:lang w:eastAsia="zh-CN"/>
        </w:rPr>
      </w:pPr>
      <w:r>
        <w:rPr>
          <w:rFonts w:hint="eastAsia"/>
          <w:lang w:val="en-US" w:eastAsia="zh-CN"/>
        </w:rPr>
        <w:t>同时，按照《工作方案》要求，学位点于2023年5月组织召开应用经济学一级学科硕士学位授权点年度建设报告评审会，专家组成员针对学位点建设、研究生培养、课程设置及年度建设报告撰写等方面提出诊断式意见，指出问题与不足，并提出改进建议。经过评议，专家组一致同意本学位点评估结论为良好。</w:t>
      </w:r>
    </w:p>
    <w:p>
      <w:pPr>
        <w:pStyle w:val="5"/>
        <w:keepNext w:val="0"/>
        <w:keepLines w:val="0"/>
        <w:widowControl w:val="0"/>
        <w:ind w:firstLine="560" w:firstLineChars="200"/>
        <w:rPr>
          <w:rFonts w:hint="eastAsia" w:eastAsia="黑体"/>
          <w:highlight w:val="none"/>
          <w:lang w:eastAsia="zh-CN"/>
        </w:rPr>
      </w:pPr>
      <w:bookmarkStart w:id="77" w:name="_Toc23951"/>
      <w:r>
        <w:rPr>
          <w:rFonts w:hint="eastAsia"/>
          <w:highlight w:val="none"/>
        </w:rPr>
        <w:t>2.问题分析</w:t>
      </w:r>
      <w:bookmarkEnd w:id="77"/>
    </w:p>
    <w:p>
      <w:pPr>
        <w:ind w:firstLine="480"/>
        <w:rPr>
          <w:rFonts w:hint="eastAsia"/>
        </w:rPr>
      </w:pPr>
      <w:r>
        <w:rPr>
          <w:rFonts w:hint="eastAsia"/>
        </w:rPr>
        <w:t>一是招生宣传力度有待加强。在研究生招生选拔方面，本学位点招收的生源</w:t>
      </w:r>
      <w:r>
        <w:rPr>
          <w:rFonts w:hint="eastAsia"/>
          <w:lang w:val="en-US" w:eastAsia="zh-CN"/>
        </w:rPr>
        <w:t>主要</w:t>
      </w:r>
      <w:r>
        <w:rPr>
          <w:rFonts w:hint="eastAsia"/>
        </w:rPr>
        <w:t>来自调剂计划</w:t>
      </w:r>
      <w:r>
        <w:rPr>
          <w:rFonts w:hint="eastAsia"/>
          <w:lang w:eastAsia="zh-CN"/>
        </w:rPr>
        <w:t>，</w:t>
      </w:r>
      <w:r>
        <w:rPr>
          <w:rFonts w:hint="eastAsia"/>
        </w:rPr>
        <w:t>虽然生源质量总体有所提升，</w:t>
      </w:r>
      <w:r>
        <w:rPr>
          <w:rFonts w:hint="eastAsia"/>
          <w:lang w:val="en-US" w:eastAsia="zh-CN"/>
        </w:rPr>
        <w:t>2023年</w:t>
      </w:r>
      <w:r>
        <w:rPr>
          <w:rFonts w:hint="eastAsia"/>
        </w:rPr>
        <w:t>优秀生源率（985+211）</w:t>
      </w:r>
      <w:r>
        <w:rPr>
          <w:rFonts w:hint="eastAsia"/>
          <w:lang w:val="en-US" w:eastAsia="zh-CN"/>
        </w:rPr>
        <w:t>高达</w:t>
      </w:r>
      <w:r>
        <w:rPr>
          <w:rFonts w:hint="eastAsia"/>
          <w:highlight w:val="none"/>
          <w:lang w:val="en-US" w:eastAsia="zh-CN"/>
        </w:rPr>
        <w:t>7</w:t>
      </w:r>
      <w:r>
        <w:rPr>
          <w:rFonts w:hint="eastAsia"/>
          <w:highlight w:val="none"/>
        </w:rPr>
        <w:t>0%</w:t>
      </w:r>
      <w:r>
        <w:rPr>
          <w:rFonts w:hint="eastAsia"/>
          <w:highlight w:val="none"/>
          <w:lang w:eastAsia="zh-CN"/>
        </w:rPr>
        <w:t>，</w:t>
      </w:r>
      <w:r>
        <w:rPr>
          <w:rFonts w:hint="eastAsia"/>
        </w:rPr>
        <w:t>但仍然存在</w:t>
      </w:r>
      <w:r>
        <w:rPr>
          <w:rFonts w:hint="eastAsia"/>
          <w:lang w:val="en-US" w:eastAsia="zh-Hans"/>
        </w:rPr>
        <w:t>第</w:t>
      </w:r>
      <w:r>
        <w:rPr>
          <w:rFonts w:hint="eastAsia"/>
        </w:rPr>
        <w:t>一志愿考生不足的问题。</w:t>
      </w:r>
    </w:p>
    <w:p>
      <w:pPr>
        <w:ind w:firstLine="480"/>
        <w:rPr>
          <w:rFonts w:hint="eastAsia" w:eastAsia="宋体"/>
          <w:lang w:val="en-US" w:eastAsia="zh-CN"/>
        </w:rPr>
      </w:pPr>
      <w:r>
        <w:rPr>
          <w:rFonts w:hint="eastAsia"/>
        </w:rPr>
        <w:t>二是</w:t>
      </w:r>
      <w:r>
        <w:rPr>
          <w:rFonts w:hint="eastAsia"/>
          <w:lang w:val="en-US" w:eastAsia="zh-CN"/>
        </w:rPr>
        <w:t>就业质量有待提升</w:t>
      </w:r>
      <w:r>
        <w:rPr>
          <w:rFonts w:hint="eastAsia"/>
          <w:lang w:eastAsia="zh-CN"/>
        </w:rPr>
        <w:t>。</w:t>
      </w:r>
      <w:r>
        <w:rPr>
          <w:rFonts w:hint="eastAsia"/>
          <w:lang w:val="en-US" w:eastAsia="zh-CN"/>
        </w:rPr>
        <w:t>一方面，就业人数相对下降。</w:t>
      </w:r>
      <w:r>
        <w:rPr>
          <w:rFonts w:hint="eastAsia"/>
          <w:lang w:eastAsia="zh-CN"/>
        </w:rPr>
        <w:t>2023年，本学位点</w:t>
      </w:r>
      <w:r>
        <w:rPr>
          <w:rFonts w:hint="eastAsia"/>
          <w:lang w:val="en-US" w:eastAsia="zh-CN"/>
        </w:rPr>
        <w:t>待业2名</w:t>
      </w:r>
      <w:r>
        <w:rPr>
          <w:rFonts w:hint="eastAsia"/>
          <w:lang w:eastAsia="zh-CN"/>
        </w:rPr>
        <w:t>毕业生</w:t>
      </w:r>
      <w:r>
        <w:rPr>
          <w:rFonts w:hint="eastAsia"/>
          <w:lang w:val="en-US" w:eastAsia="zh-CN"/>
        </w:rPr>
        <w:t>，</w:t>
      </w:r>
      <w:r>
        <w:rPr>
          <w:rFonts w:hint="eastAsia"/>
          <w:lang w:val="en-US" w:eastAsia="zh-Hans"/>
        </w:rPr>
        <w:t>为</w:t>
      </w:r>
      <w:r>
        <w:rPr>
          <w:rFonts w:hint="eastAsia"/>
          <w:lang w:val="en-US" w:eastAsia="zh-CN"/>
        </w:rPr>
        <w:t>历史</w:t>
      </w:r>
      <w:r>
        <w:rPr>
          <w:rFonts w:hint="eastAsia"/>
          <w:lang w:val="en-US" w:eastAsia="zh-Hans"/>
        </w:rPr>
        <w:t>最</w:t>
      </w:r>
      <w:r>
        <w:rPr>
          <w:rFonts w:hint="eastAsia"/>
          <w:lang w:val="en-US" w:eastAsia="zh-CN"/>
        </w:rPr>
        <w:t>高。另一方面，</w:t>
      </w:r>
      <w:r>
        <w:rPr>
          <w:rFonts w:hint="eastAsia"/>
          <w:highlight w:val="none"/>
          <w:lang w:val="en-US" w:eastAsia="zh-CN"/>
        </w:rPr>
        <w:t>就业结构有待优化。相比2022年4名毕业生分别考取1所985、3所211高校博士研究生的成绩，2023年暂无学生继续升学。</w:t>
      </w:r>
    </w:p>
    <w:p>
      <w:pPr>
        <w:keepNext w:val="0"/>
        <w:keepLines w:val="0"/>
        <w:pageBreakBefore w:val="0"/>
        <w:widowControl w:val="0"/>
        <w:kinsoku/>
        <w:wordWrap/>
        <w:overflowPunct/>
        <w:topLinePunct w:val="0"/>
        <w:autoSpaceDE/>
        <w:autoSpaceDN/>
        <w:bidi w:val="0"/>
        <w:adjustRightInd/>
        <w:snapToGrid/>
        <w:spacing w:after="95" w:afterLines="30"/>
        <w:ind w:firstLine="480"/>
        <w:textAlignment w:val="auto"/>
        <w:rPr>
          <w:rFonts w:hint="default" w:eastAsia="宋体"/>
          <w:lang w:val="en-US" w:eastAsia="zh-CN"/>
        </w:rPr>
      </w:pPr>
      <w:r>
        <w:rPr>
          <w:rFonts w:hint="eastAsia"/>
        </w:rPr>
        <w:t>三是</w:t>
      </w:r>
      <w:r>
        <w:rPr>
          <w:rFonts w:hint="eastAsia"/>
          <w:lang w:val="en-US" w:eastAsia="zh-CN"/>
        </w:rPr>
        <w:t>对外</w:t>
      </w:r>
      <w:r>
        <w:rPr>
          <w:rFonts w:hint="eastAsia"/>
        </w:rPr>
        <w:t>学术交流有待加强。</w:t>
      </w:r>
      <w:r>
        <w:rPr>
          <w:rFonts w:hint="eastAsia"/>
          <w:lang w:val="en-US" w:eastAsia="zh-CN"/>
        </w:rPr>
        <w:t>一方面，</w:t>
      </w:r>
      <w:r>
        <w:rPr>
          <w:rFonts w:hint="eastAsia"/>
          <w:highlight w:val="none"/>
        </w:rPr>
        <w:t>本学位点</w:t>
      </w:r>
      <w:r>
        <w:rPr>
          <w:rFonts w:hint="eastAsia"/>
          <w:highlight w:val="none"/>
          <w:lang w:val="en-US" w:eastAsia="zh-CN"/>
        </w:rPr>
        <w:t>暂未公派研究生出国（境）交流培养，学生缺乏交换留学的经验</w:t>
      </w:r>
      <w:r>
        <w:rPr>
          <w:rFonts w:hint="eastAsia"/>
          <w:highlight w:val="none"/>
          <w:lang w:eastAsia="zh-CN"/>
        </w:rPr>
        <w:t>；</w:t>
      </w:r>
      <w:r>
        <w:rPr>
          <w:rFonts w:hint="eastAsia"/>
          <w:highlight w:val="none"/>
          <w:lang w:val="en-US" w:eastAsia="zh-CN"/>
        </w:rPr>
        <w:t>另一方面，</w:t>
      </w:r>
      <w:r>
        <w:rPr>
          <w:rFonts w:hint="eastAsia"/>
          <w:lang w:val="en-US" w:eastAsia="zh-CN"/>
        </w:rPr>
        <w:t>本学位点研究生参加本领域国内外重要学术会议和大型</w:t>
      </w:r>
      <w:r>
        <w:rPr>
          <w:rFonts w:hint="eastAsia"/>
          <w:lang w:val="en-US" w:eastAsia="zh-Hans"/>
        </w:rPr>
        <w:t>科研</w:t>
      </w:r>
      <w:r>
        <w:rPr>
          <w:rFonts w:hint="eastAsia"/>
          <w:lang w:val="en-US" w:eastAsia="zh-CN"/>
        </w:rPr>
        <w:t>竞赛</w:t>
      </w:r>
      <w:r>
        <w:rPr>
          <w:rFonts w:hint="eastAsia"/>
          <w:lang w:val="en-US" w:eastAsia="zh-Hans"/>
        </w:rPr>
        <w:t>的频次有待提升</w:t>
      </w:r>
      <w:r>
        <w:rPr>
          <w:rFonts w:hint="eastAsia"/>
          <w:lang w:val="en-US" w:eastAsia="zh-CN"/>
        </w:rPr>
        <w:t>。</w:t>
      </w:r>
    </w:p>
    <w:p>
      <w:pPr>
        <w:pStyle w:val="4"/>
        <w:keepNext w:val="0"/>
        <w:keepLines w:val="0"/>
        <w:widowControl w:val="0"/>
        <w:ind w:firstLine="602" w:firstLineChars="200"/>
        <w:rPr>
          <w:rFonts w:hint="eastAsia"/>
          <w:highlight w:val="none"/>
        </w:rPr>
      </w:pPr>
      <w:bookmarkStart w:id="78" w:name="_Toc729"/>
      <w:bookmarkStart w:id="79" w:name="_Toc101036331"/>
      <w:bookmarkStart w:id="80" w:name="_Toc21108"/>
      <w:bookmarkStart w:id="81" w:name="_Toc30438"/>
      <w:r>
        <w:rPr>
          <w:rFonts w:hint="eastAsia"/>
          <w:highlight w:val="none"/>
        </w:rPr>
        <w:t>（二）改进</w:t>
      </w:r>
      <w:bookmarkEnd w:id="78"/>
      <w:bookmarkEnd w:id="79"/>
      <w:r>
        <w:rPr>
          <w:rFonts w:hint="eastAsia"/>
          <w:highlight w:val="none"/>
          <w:lang w:val="en-US" w:eastAsia="zh-CN"/>
        </w:rPr>
        <w:t>措施</w:t>
      </w:r>
      <w:bookmarkEnd w:id="80"/>
      <w:bookmarkEnd w:id="81"/>
    </w:p>
    <w:p>
      <w:pPr>
        <w:pStyle w:val="5"/>
        <w:keepNext w:val="0"/>
        <w:keepLines w:val="0"/>
        <w:widowControl w:val="0"/>
        <w:ind w:firstLine="560" w:firstLineChars="200"/>
        <w:rPr>
          <w:rFonts w:hint="eastAsia"/>
          <w:highlight w:val="none"/>
          <w:lang w:val="en-US" w:eastAsia="zh-CN"/>
        </w:rPr>
      </w:pPr>
      <w:r>
        <w:rPr>
          <w:rFonts w:hint="eastAsia"/>
          <w:highlight w:val="none"/>
          <w:lang w:val="en-US" w:eastAsia="zh-CN"/>
        </w:rPr>
        <w:t>1.针对问题的改进建议</w:t>
      </w:r>
    </w:p>
    <w:p>
      <w:pPr>
        <w:ind w:firstLine="480"/>
        <w:rPr>
          <w:rFonts w:hint="eastAsia"/>
        </w:rPr>
      </w:pPr>
      <w:r>
        <w:rPr>
          <w:rFonts w:hint="eastAsia"/>
        </w:rPr>
        <w:t>一是</w:t>
      </w:r>
      <w:r>
        <w:rPr>
          <w:rFonts w:hint="eastAsia"/>
          <w:lang w:val="en-US" w:eastAsia="zh-CN"/>
        </w:rPr>
        <w:t>持续</w:t>
      </w:r>
      <w:r>
        <w:rPr>
          <w:rFonts w:hint="eastAsia"/>
        </w:rPr>
        <w:t>扩大优质生源。一方面，在院统一部署下，进一步加强招生宣传工作</w:t>
      </w:r>
      <w:r>
        <w:rPr>
          <w:rFonts w:hint="eastAsia"/>
          <w:lang w:val="en-US" w:eastAsia="zh-CN"/>
        </w:rPr>
        <w:t>力度</w:t>
      </w:r>
      <w:r>
        <w:rPr>
          <w:rFonts w:hint="eastAsia"/>
          <w:lang w:eastAsia="zh-CN"/>
        </w:rPr>
        <w:t>。</w:t>
      </w:r>
      <w:r>
        <w:rPr>
          <w:rFonts w:hint="eastAsia"/>
          <w:lang w:val="en-US" w:eastAsia="zh-Hans"/>
        </w:rPr>
        <w:t>精准</w:t>
      </w:r>
      <w:r>
        <w:rPr>
          <w:rFonts w:hint="eastAsia"/>
        </w:rPr>
        <w:t>定位优质生源的地区、高校和学科专业，有针对性地</w:t>
      </w:r>
      <w:r>
        <w:rPr>
          <w:rFonts w:hint="eastAsia"/>
          <w:lang w:val="en-US" w:eastAsia="zh-CN"/>
        </w:rPr>
        <w:t>锚定</w:t>
      </w:r>
      <w:r>
        <w:rPr>
          <w:rFonts w:hint="eastAsia"/>
        </w:rPr>
        <w:t>宣传对象、</w:t>
      </w:r>
      <w:r>
        <w:rPr>
          <w:rFonts w:hint="eastAsia"/>
          <w:lang w:val="en-US" w:eastAsia="zh-CN"/>
        </w:rPr>
        <w:t>优化</w:t>
      </w:r>
      <w:r>
        <w:rPr>
          <w:rFonts w:hint="eastAsia"/>
        </w:rPr>
        <w:t>宣传计划、</w:t>
      </w:r>
      <w:r>
        <w:rPr>
          <w:rFonts w:hint="eastAsia"/>
          <w:lang w:val="en-US" w:eastAsia="zh-CN"/>
        </w:rPr>
        <w:t>拓宽</w:t>
      </w:r>
      <w:r>
        <w:rPr>
          <w:rFonts w:hint="eastAsia"/>
        </w:rPr>
        <w:t>宣传途径</w:t>
      </w:r>
      <w:r>
        <w:rPr>
          <w:rFonts w:hint="eastAsia"/>
          <w:lang w:eastAsia="zh-CN"/>
        </w:rPr>
        <w:t>，</w:t>
      </w:r>
      <w:r>
        <w:rPr>
          <w:rFonts w:hint="eastAsia"/>
        </w:rPr>
        <w:t>全方位、多渠道吸引优质生源报考；另一方面，加强科研平台建设，凸显本</w:t>
      </w:r>
      <w:r>
        <w:rPr>
          <w:rFonts w:hint="eastAsia"/>
          <w:lang w:val="en-US" w:eastAsia="zh-CN"/>
        </w:rPr>
        <w:t>学位点</w:t>
      </w:r>
      <w:r>
        <w:rPr>
          <w:rFonts w:hint="eastAsia"/>
        </w:rPr>
        <w:t>的学科特色优势，提升</w:t>
      </w:r>
      <w:r>
        <w:rPr>
          <w:rFonts w:hint="eastAsia"/>
          <w:lang w:val="en-US" w:eastAsia="zh-CN"/>
        </w:rPr>
        <w:t>学位点</w:t>
      </w:r>
      <w:r>
        <w:rPr>
          <w:rFonts w:hint="eastAsia"/>
        </w:rPr>
        <w:t>科研成果</w:t>
      </w:r>
      <w:r>
        <w:rPr>
          <w:rFonts w:hint="eastAsia"/>
          <w:lang w:val="en-US" w:eastAsia="zh-Hans"/>
        </w:rPr>
        <w:t>的影响力和</w:t>
      </w:r>
      <w:r>
        <w:rPr>
          <w:rFonts w:hint="eastAsia"/>
        </w:rPr>
        <w:t>知名度。</w:t>
      </w:r>
    </w:p>
    <w:p>
      <w:pPr>
        <w:ind w:firstLine="480"/>
        <w:rPr>
          <w:rFonts w:hint="eastAsia"/>
        </w:rPr>
      </w:pPr>
      <w:r>
        <w:rPr>
          <w:rFonts w:hint="eastAsia"/>
        </w:rPr>
        <w:t>二是</w:t>
      </w:r>
      <w:r>
        <w:rPr>
          <w:rFonts w:hint="eastAsia"/>
          <w:lang w:val="en-US" w:eastAsia="zh-CN"/>
        </w:rPr>
        <w:t>全面提升</w:t>
      </w:r>
      <w:r>
        <w:rPr>
          <w:rFonts w:hint="default"/>
          <w:lang w:val="en-US"/>
        </w:rPr>
        <w:t>就业质量</w:t>
      </w:r>
      <w:r>
        <w:rPr>
          <w:rFonts w:hint="eastAsia"/>
          <w:lang w:eastAsia="zh-CN"/>
        </w:rPr>
        <w:t>。</w:t>
      </w:r>
      <w:r>
        <w:rPr>
          <w:rFonts w:hint="eastAsia"/>
          <w:lang w:val="en-US" w:eastAsia="zh-CN"/>
        </w:rPr>
        <w:t>一方面</w:t>
      </w:r>
      <w:r>
        <w:rPr>
          <w:rFonts w:hint="eastAsia"/>
          <w:lang w:val="en-US" w:eastAsia="zh-Hans"/>
        </w:rPr>
        <w:t>从课程设计源头入手</w:t>
      </w:r>
      <w:r>
        <w:rPr>
          <w:rFonts w:hint="eastAsia"/>
          <w:lang w:val="en-US" w:eastAsia="zh-CN"/>
        </w:rPr>
        <w:t>，</w:t>
      </w:r>
      <w:r>
        <w:rPr>
          <w:rFonts w:hint="eastAsia"/>
        </w:rPr>
        <w:t>进一步优化</w:t>
      </w:r>
      <w:r>
        <w:rPr>
          <w:rFonts w:hint="eastAsia"/>
          <w:lang w:val="en-US" w:eastAsia="zh-CN"/>
        </w:rPr>
        <w:t>研究生</w:t>
      </w:r>
      <w:r>
        <w:rPr>
          <w:rFonts w:hint="eastAsia"/>
        </w:rPr>
        <w:t>课程建设，充分发挥优秀课程的引领和示范作用</w:t>
      </w:r>
      <w:r>
        <w:rPr>
          <w:rFonts w:hint="eastAsia"/>
          <w:lang w:eastAsia="zh-CN"/>
        </w:rPr>
        <w:t>，</w:t>
      </w:r>
      <w:r>
        <w:rPr>
          <w:rFonts w:hint="eastAsia"/>
        </w:rPr>
        <w:t>加强</w:t>
      </w:r>
      <w:r>
        <w:rPr>
          <w:rFonts w:hint="eastAsia"/>
          <w:lang w:val="en-US" w:eastAsia="zh-Hans"/>
        </w:rPr>
        <w:t>学生</w:t>
      </w:r>
      <w:r>
        <w:rPr>
          <w:rFonts w:hint="eastAsia"/>
        </w:rPr>
        <w:t>创新能力</w:t>
      </w:r>
      <w:r>
        <w:rPr>
          <w:rFonts w:hint="eastAsia"/>
          <w:lang w:val="en-US" w:eastAsia="zh-Hans"/>
        </w:rPr>
        <w:t>和</w:t>
      </w:r>
      <w:r>
        <w:rPr>
          <w:rFonts w:hint="eastAsia"/>
        </w:rPr>
        <w:t>科研素养培养</w:t>
      </w:r>
      <w:r>
        <w:rPr>
          <w:rFonts w:hint="default"/>
        </w:rPr>
        <w:t>，</w:t>
      </w:r>
      <w:r>
        <w:rPr>
          <w:rFonts w:hint="eastAsia"/>
          <w:lang w:val="en-US" w:eastAsia="zh-Hans"/>
        </w:rPr>
        <w:t>提升就业竞争力</w:t>
      </w:r>
      <w:r>
        <w:rPr>
          <w:rFonts w:hint="eastAsia"/>
        </w:rPr>
        <w:t>。</w:t>
      </w:r>
      <w:r>
        <w:rPr>
          <w:rFonts w:hint="eastAsia"/>
          <w:lang w:val="en-US" w:eastAsia="zh-CN"/>
        </w:rPr>
        <w:t>另一方面</w:t>
      </w:r>
      <w:r>
        <w:rPr>
          <w:rFonts w:hint="eastAsia"/>
          <w:lang w:val="en-US" w:eastAsia="zh-Hans"/>
        </w:rPr>
        <w:t>从就业实践入手</w:t>
      </w:r>
      <w:r>
        <w:rPr>
          <w:rFonts w:hint="eastAsia"/>
          <w:lang w:val="en-US" w:eastAsia="zh-CN"/>
        </w:rPr>
        <w:t>，</w:t>
      </w:r>
      <w:r>
        <w:rPr>
          <w:rFonts w:hint="eastAsia"/>
        </w:rPr>
        <w:t>依托实习基地、产学研基地，为研究生提供</w:t>
      </w:r>
      <w:r>
        <w:rPr>
          <w:rFonts w:hint="eastAsia"/>
          <w:lang w:val="en-US" w:eastAsia="zh-Hans"/>
        </w:rPr>
        <w:t>更多元的</w:t>
      </w:r>
      <w:r>
        <w:rPr>
          <w:rFonts w:hint="eastAsia"/>
        </w:rPr>
        <w:t>实习</w:t>
      </w:r>
      <w:r>
        <w:rPr>
          <w:rFonts w:hint="eastAsia"/>
          <w:highlight w:val="none"/>
        </w:rPr>
        <w:t>实践场所，</w:t>
      </w:r>
      <w:r>
        <w:rPr>
          <w:rFonts w:hint="eastAsia"/>
          <w:highlight w:val="none"/>
          <w:lang w:val="en-US" w:eastAsia="zh-Hans"/>
        </w:rPr>
        <w:t>并</w:t>
      </w:r>
      <w:r>
        <w:rPr>
          <w:rFonts w:hint="eastAsia"/>
          <w:highlight w:val="none"/>
          <w:lang w:val="en-US" w:eastAsia="zh-CN"/>
        </w:rPr>
        <w:t>依据社会需求、</w:t>
      </w:r>
      <w:r>
        <w:rPr>
          <w:rFonts w:hint="eastAsia"/>
          <w:highlight w:val="none"/>
        </w:rPr>
        <w:t>行业实践前沿</w:t>
      </w:r>
      <w:r>
        <w:rPr>
          <w:rFonts w:hint="eastAsia"/>
          <w:highlight w:val="none"/>
          <w:lang w:val="en-US" w:eastAsia="zh-CN"/>
        </w:rPr>
        <w:t>和</w:t>
      </w:r>
      <w:r>
        <w:rPr>
          <w:rFonts w:hint="eastAsia"/>
          <w:highlight w:val="none"/>
        </w:rPr>
        <w:t>职业能力要求，探索多种形式、行之有效的实践教学方式</w:t>
      </w:r>
      <w:r>
        <w:rPr>
          <w:rFonts w:hint="eastAsia"/>
          <w:highlight w:val="none"/>
          <w:lang w:eastAsia="zh-CN"/>
        </w:rPr>
        <w:t>，</w:t>
      </w:r>
      <w:r>
        <w:rPr>
          <w:rFonts w:hint="eastAsia"/>
          <w:highlight w:val="none"/>
          <w:lang w:val="en-US" w:eastAsia="zh-CN"/>
        </w:rPr>
        <w:t>争取</w:t>
      </w:r>
      <w:r>
        <w:rPr>
          <w:rFonts w:hint="eastAsia"/>
          <w:highlight w:val="none"/>
        </w:rPr>
        <w:t>为政府部门、高等院校、科研机构、各类企事业单位输送更多更高素质的</w:t>
      </w:r>
      <w:r>
        <w:rPr>
          <w:rFonts w:hint="eastAsia"/>
          <w:highlight w:val="none"/>
          <w:lang w:val="en-US" w:eastAsia="zh-CN"/>
        </w:rPr>
        <w:t>复合型</w:t>
      </w:r>
      <w:r>
        <w:rPr>
          <w:rFonts w:hint="eastAsia"/>
          <w:highlight w:val="none"/>
        </w:rPr>
        <w:t>专业人才。</w:t>
      </w:r>
    </w:p>
    <w:p>
      <w:pPr>
        <w:ind w:firstLine="480"/>
        <w:rPr>
          <w:rFonts w:hint="eastAsia"/>
        </w:rPr>
      </w:pPr>
      <w:r>
        <w:rPr>
          <w:rFonts w:hint="eastAsia"/>
        </w:rPr>
        <w:t>三是</w:t>
      </w:r>
      <w:r>
        <w:rPr>
          <w:rFonts w:hint="eastAsia"/>
          <w:lang w:val="en-US" w:eastAsia="zh-Hans"/>
        </w:rPr>
        <w:t>丰富</w:t>
      </w:r>
      <w:r>
        <w:rPr>
          <w:rFonts w:hint="eastAsia"/>
        </w:rPr>
        <w:t>学术交流形式。</w:t>
      </w:r>
      <w:r>
        <w:rPr>
          <w:rFonts w:hint="eastAsia"/>
          <w:lang w:val="en-US" w:eastAsia="zh-CN"/>
        </w:rPr>
        <w:t>一方面，</w:t>
      </w:r>
      <w:r>
        <w:rPr>
          <w:rFonts w:hint="eastAsia"/>
        </w:rPr>
        <w:t>加强与国内外知名高校</w:t>
      </w:r>
      <w:r>
        <w:rPr>
          <w:rFonts w:hint="eastAsia"/>
          <w:lang w:val="en-US" w:eastAsia="zh-Hans"/>
        </w:rPr>
        <w:t>联合</w:t>
      </w:r>
      <w:r>
        <w:rPr>
          <w:rFonts w:hint="eastAsia"/>
          <w:lang w:val="en-US" w:eastAsia="zh-CN"/>
        </w:rPr>
        <w:t>开展</w:t>
      </w:r>
      <w:r>
        <w:rPr>
          <w:rFonts w:hint="eastAsia"/>
        </w:rPr>
        <w:t>学术交流</w:t>
      </w:r>
      <w:r>
        <w:rPr>
          <w:rFonts w:hint="eastAsia"/>
          <w:lang w:val="en-US" w:eastAsia="zh-Hans"/>
        </w:rPr>
        <w:t>活动</w:t>
      </w:r>
      <w:r>
        <w:rPr>
          <w:rFonts w:hint="eastAsia"/>
        </w:rPr>
        <w:t>，</w:t>
      </w:r>
      <w:r>
        <w:rPr>
          <w:rFonts w:hint="eastAsia"/>
          <w:lang w:val="en-US" w:eastAsia="zh-Hans"/>
        </w:rPr>
        <w:t>并建立常态化机制</w:t>
      </w:r>
      <w:r>
        <w:rPr>
          <w:rFonts w:hint="default"/>
          <w:lang w:eastAsia="zh-Hans"/>
        </w:rPr>
        <w:t>，</w:t>
      </w:r>
      <w:r>
        <w:rPr>
          <w:rFonts w:hint="eastAsia"/>
        </w:rPr>
        <w:t>为研究生提供</w:t>
      </w:r>
      <w:r>
        <w:rPr>
          <w:rFonts w:hint="eastAsia"/>
          <w:lang w:val="en-US" w:eastAsia="zh-Hans"/>
        </w:rPr>
        <w:t>更多</w:t>
      </w:r>
      <w:r>
        <w:rPr>
          <w:rFonts w:hint="eastAsia"/>
        </w:rPr>
        <w:t>交流机会与平台</w:t>
      </w:r>
      <w:r>
        <w:rPr>
          <w:rFonts w:hint="eastAsia"/>
          <w:lang w:eastAsia="zh-CN"/>
        </w:rPr>
        <w:t>，</w:t>
      </w:r>
      <w:r>
        <w:rPr>
          <w:rFonts w:hint="eastAsia"/>
        </w:rPr>
        <w:t>必要时可采取合作课题的方式深化交流层次，提高交流实效。</w:t>
      </w:r>
      <w:r>
        <w:rPr>
          <w:rFonts w:hint="eastAsia"/>
          <w:lang w:val="en-US" w:eastAsia="zh-CN"/>
        </w:rPr>
        <w:t>另一方面，</w:t>
      </w:r>
      <w:r>
        <w:rPr>
          <w:rFonts w:hint="eastAsia"/>
          <w:lang w:val="en-US" w:eastAsia="zh-Hans"/>
        </w:rPr>
        <w:t>出台相关激励制度</w:t>
      </w:r>
      <w:r>
        <w:rPr>
          <w:rFonts w:hint="default"/>
          <w:lang w:eastAsia="zh-Hans"/>
        </w:rPr>
        <w:t>，</w:t>
      </w:r>
      <w:r>
        <w:rPr>
          <w:rFonts w:hint="eastAsia"/>
          <w:lang w:val="en-US" w:eastAsia="zh-Hans"/>
        </w:rPr>
        <w:t>鼓励</w:t>
      </w:r>
      <w:r>
        <w:rPr>
          <w:rFonts w:hint="eastAsia"/>
          <w:lang w:val="en-US" w:eastAsia="zh-CN"/>
        </w:rPr>
        <w:t>研究生</w:t>
      </w:r>
      <w:r>
        <w:rPr>
          <w:rFonts w:hint="eastAsia"/>
        </w:rPr>
        <w:t>积极参加</w:t>
      </w:r>
      <w:r>
        <w:rPr>
          <w:rFonts w:hint="eastAsia"/>
          <w:lang w:val="en-US" w:eastAsia="zh-CN"/>
        </w:rPr>
        <w:t>相关领域的</w:t>
      </w:r>
      <w:r>
        <w:rPr>
          <w:rFonts w:hint="eastAsia"/>
          <w:lang w:val="en-US" w:eastAsia="zh-Hans"/>
        </w:rPr>
        <w:t>重要</w:t>
      </w:r>
      <w:r>
        <w:rPr>
          <w:rFonts w:hint="eastAsia"/>
        </w:rPr>
        <w:t>国</w:t>
      </w:r>
      <w:r>
        <w:rPr>
          <w:rFonts w:hint="eastAsia"/>
          <w:lang w:val="en-US" w:eastAsia="zh-CN"/>
        </w:rPr>
        <w:t>内外</w:t>
      </w:r>
      <w:r>
        <w:rPr>
          <w:rFonts w:hint="eastAsia"/>
        </w:rPr>
        <w:t>学术会议</w:t>
      </w:r>
      <w:r>
        <w:rPr>
          <w:rFonts w:hint="eastAsia"/>
          <w:lang w:val="en-US" w:eastAsia="zh-CN"/>
        </w:rPr>
        <w:t>和竞赛活动</w:t>
      </w:r>
      <w:r>
        <w:rPr>
          <w:rFonts w:hint="eastAsia"/>
        </w:rPr>
        <w:t>，采用</w:t>
      </w:r>
      <w:r>
        <w:rPr>
          <w:rFonts w:hint="eastAsia"/>
          <w:lang w:eastAsia="zh-Hans"/>
        </w:rPr>
        <w:t>“</w:t>
      </w:r>
      <w:r>
        <w:rPr>
          <w:rFonts w:hint="eastAsia"/>
        </w:rPr>
        <w:t>引进来</w:t>
      </w:r>
      <w:r>
        <w:rPr>
          <w:rFonts w:hint="default"/>
        </w:rPr>
        <w:t>+</w:t>
      </w:r>
      <w:r>
        <w:rPr>
          <w:rFonts w:hint="eastAsia"/>
        </w:rPr>
        <w:t>走出去</w:t>
      </w:r>
      <w:r>
        <w:rPr>
          <w:rFonts w:hint="eastAsia"/>
          <w:lang w:eastAsia="zh-Hans"/>
        </w:rPr>
        <w:t>”</w:t>
      </w:r>
      <w:r>
        <w:rPr>
          <w:rFonts w:hint="eastAsia"/>
        </w:rPr>
        <w:t>的思路，提升研究生教育的创新意识和国际视野。</w:t>
      </w:r>
    </w:p>
    <w:p>
      <w:pPr>
        <w:pStyle w:val="5"/>
        <w:keepNext w:val="0"/>
        <w:keepLines w:val="0"/>
        <w:widowControl w:val="0"/>
        <w:ind w:firstLine="560" w:firstLineChars="200"/>
        <w:rPr>
          <w:rFonts w:hint="eastAsia" w:eastAsia="黑体"/>
          <w:highlight w:val="none"/>
          <w:lang w:val="en-US" w:eastAsia="zh-CN"/>
        </w:rPr>
      </w:pPr>
      <w:r>
        <w:rPr>
          <w:rFonts w:hint="eastAsia"/>
          <w:highlight w:val="none"/>
          <w:lang w:val="en-US" w:eastAsia="zh-CN"/>
        </w:rPr>
        <w:t>2.下一步工作思路与举措</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lang w:val="en-US" w:eastAsia="zh-CN"/>
        </w:rPr>
      </w:pPr>
      <w:r>
        <w:rPr>
          <w:rFonts w:hint="default"/>
          <w:lang w:val="en-US" w:eastAsia="zh-CN"/>
        </w:rPr>
        <w:t>结合专家组的意见建议，</w:t>
      </w:r>
      <w:r>
        <w:rPr>
          <w:rFonts w:hint="eastAsia"/>
          <w:lang w:val="en-US" w:eastAsia="zh-CN"/>
        </w:rPr>
        <w:t>学位点将</w:t>
      </w:r>
      <w:r>
        <w:rPr>
          <w:rFonts w:hint="default"/>
          <w:lang w:val="en-US" w:eastAsia="zh-CN"/>
        </w:rPr>
        <w:t>通过内部自我评估和外部监督评审相结合的方式，</w:t>
      </w:r>
      <w:r>
        <w:rPr>
          <w:rFonts w:hint="eastAsia"/>
          <w:lang w:val="en-US" w:eastAsia="zh-CN"/>
        </w:rPr>
        <w:t>持续</w:t>
      </w:r>
      <w:r>
        <w:rPr>
          <w:rFonts w:hint="default"/>
          <w:lang w:val="en-US" w:eastAsia="zh-CN"/>
        </w:rPr>
        <w:t>完善研究生的教育教学工作，稳步提升研究生的培养质量及学位点建设水平。</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b/>
          <w:bCs/>
          <w:lang w:val="en-US" w:eastAsia="zh-CN"/>
        </w:rPr>
      </w:pPr>
      <w:r>
        <w:rPr>
          <w:rFonts w:hint="eastAsia"/>
          <w:b/>
          <w:bCs/>
          <w:lang w:val="en-US" w:eastAsia="zh-CN"/>
        </w:rPr>
        <w:t>（1）进一步提升科教协同育人水平</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lang w:val="en-US" w:eastAsia="zh-CN"/>
        </w:rPr>
      </w:pPr>
      <w:r>
        <w:rPr>
          <w:rFonts w:hint="eastAsia"/>
          <w:lang w:val="en-US" w:eastAsia="zh-CN"/>
        </w:rPr>
        <w:t>以科研带动教学，将</w:t>
      </w:r>
      <w:r>
        <w:rPr>
          <w:rFonts w:hint="eastAsia"/>
          <w:lang w:val="en-US" w:eastAsia="zh-Hans"/>
        </w:rPr>
        <w:t>社科院</w:t>
      </w:r>
      <w:r>
        <w:rPr>
          <w:rFonts w:hint="eastAsia"/>
          <w:lang w:val="en-US" w:eastAsia="zh-CN"/>
        </w:rPr>
        <w:t>科研优势转化成育人优势，切实提升研究生培养质量。一是不断完善学科梯队，全面</w:t>
      </w:r>
      <w:r>
        <w:rPr>
          <w:rFonts w:hint="default"/>
          <w:lang w:val="en-US" w:eastAsia="zh-CN"/>
        </w:rPr>
        <w:t>加强中青年学术带头人和领军人才的引育力度，提升人才引进的精准度</w:t>
      </w:r>
      <w:r>
        <w:rPr>
          <w:rFonts w:hint="eastAsia"/>
          <w:lang w:val="en-US" w:eastAsia="zh-CN"/>
        </w:rPr>
        <w:t>，利用“院科研创新人才计划项目”等激励教师持续提升专业素养和学术水平。二是持续</w:t>
      </w:r>
      <w:r>
        <w:rPr>
          <w:rFonts w:hint="default"/>
          <w:lang w:val="en-US" w:eastAsia="zh-CN"/>
        </w:rPr>
        <w:t>推动</w:t>
      </w:r>
      <w:r>
        <w:rPr>
          <w:rFonts w:hint="eastAsia"/>
          <w:lang w:val="en-US" w:eastAsia="zh-CN"/>
        </w:rPr>
        <w:t>高质量</w:t>
      </w:r>
      <w:r>
        <w:rPr>
          <w:rFonts w:hint="default"/>
          <w:lang w:val="en-US" w:eastAsia="zh-CN"/>
        </w:rPr>
        <w:t>创新成果产出，将研究前沿融入到培养模式、课程体系、教学内容、教学方式改革中，以高水平科研支撑研究生教学过程</w:t>
      </w:r>
      <w:r>
        <w:rPr>
          <w:rFonts w:hint="eastAsia"/>
          <w:lang w:val="en-US" w:eastAsia="zh-CN"/>
        </w:rPr>
        <w:t>。三是积极拓展学科研究领域和方向，</w:t>
      </w:r>
      <w:r>
        <w:rPr>
          <w:rFonts w:hint="eastAsia"/>
        </w:rPr>
        <w:t>探索培育海洋经济、环境经济、文化产业等交叉学科</w:t>
      </w:r>
      <w:r>
        <w:rPr>
          <w:rFonts w:hint="eastAsia"/>
          <w:lang w:eastAsia="zh-CN"/>
        </w:rPr>
        <w:t>。</w:t>
      </w:r>
      <w:r>
        <w:rPr>
          <w:rFonts w:hint="eastAsia"/>
          <w:lang w:val="en-US" w:eastAsia="zh-CN"/>
        </w:rPr>
        <w:t>四是积极创新教学模式，</w:t>
      </w:r>
      <w:r>
        <w:rPr>
          <w:rFonts w:hint="eastAsia"/>
          <w:lang w:eastAsia="zh-CN"/>
        </w:rPr>
        <w:t>在专业课程教学上</w:t>
      </w:r>
      <w:r>
        <w:rPr>
          <w:rFonts w:hint="eastAsia"/>
          <w:lang w:val="en-US" w:eastAsia="zh-CN"/>
        </w:rPr>
        <w:t>可</w:t>
      </w:r>
      <w:r>
        <w:rPr>
          <w:rFonts w:hint="eastAsia"/>
          <w:lang w:eastAsia="zh-CN"/>
        </w:rPr>
        <w:t>采用“理论教学+案例指导”的方式，在以理论为重点的课堂教学基础上，强化研究生的专业实务知识和技巧，重点培养学生的理论联系实际、分析问题、解决问题的能力。</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b/>
          <w:bCs/>
          <w:lang w:val="en-US" w:eastAsia="zh-CN"/>
        </w:rPr>
      </w:pPr>
      <w:r>
        <w:rPr>
          <w:rFonts w:hint="eastAsia"/>
          <w:b/>
          <w:bCs/>
          <w:lang w:val="en-US" w:eastAsia="zh-CN"/>
        </w:rPr>
        <w:t>（2）持续深化研究生培养特色</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eastAsia="宋体"/>
          <w:lang w:eastAsia="zh-CN"/>
        </w:rPr>
      </w:pPr>
      <w:r>
        <w:rPr>
          <w:rFonts w:hint="default"/>
          <w:lang w:val="en-US" w:eastAsia="zh-CN"/>
        </w:rPr>
        <w:t>结合</w:t>
      </w:r>
      <w:r>
        <w:rPr>
          <w:rFonts w:hint="eastAsia"/>
          <w:lang w:val="en-US" w:eastAsia="zh-CN"/>
        </w:rPr>
        <w:t>我</w:t>
      </w:r>
      <w:r>
        <w:rPr>
          <w:rFonts w:hint="default"/>
          <w:lang w:val="en-US" w:eastAsia="zh-CN"/>
        </w:rPr>
        <w:t>院</w:t>
      </w:r>
      <w:r>
        <w:rPr>
          <w:rFonts w:hint="eastAsia"/>
          <w:lang w:val="en-US" w:eastAsia="zh-Hans"/>
        </w:rPr>
        <w:t>新型</w:t>
      </w:r>
      <w:r>
        <w:rPr>
          <w:rFonts w:hint="eastAsia"/>
          <w:lang w:val="en-US" w:eastAsia="zh-CN"/>
        </w:rPr>
        <w:t>智库</w:t>
      </w:r>
      <w:r>
        <w:rPr>
          <w:rFonts w:hint="eastAsia"/>
          <w:lang w:val="en-US" w:eastAsia="zh-Hans"/>
        </w:rPr>
        <w:t>定位</w:t>
      </w:r>
      <w:r>
        <w:rPr>
          <w:rFonts w:hint="default"/>
          <w:lang w:val="en-US" w:eastAsia="zh-CN"/>
        </w:rPr>
        <w:t>，进一步凸显研究生的培养特色</w:t>
      </w:r>
      <w:r>
        <w:rPr>
          <w:rFonts w:hint="eastAsia"/>
          <w:lang w:val="en-US" w:eastAsia="zh-CN"/>
        </w:rPr>
        <w:t>。</w:t>
      </w:r>
      <w:r>
        <w:rPr>
          <w:rFonts w:hint="eastAsia"/>
          <w:b w:val="0"/>
          <w:bCs w:val="0"/>
          <w:lang w:val="en-US" w:eastAsia="zh-Hans"/>
        </w:rPr>
        <w:t>一是</w:t>
      </w:r>
      <w:r>
        <w:rPr>
          <w:rFonts w:hint="eastAsia"/>
          <w:b w:val="0"/>
          <w:bCs w:val="0"/>
          <w:lang w:val="en-US" w:eastAsia="zh-CN"/>
        </w:rPr>
        <w:t>加强科研平台建设力度</w:t>
      </w:r>
      <w:r>
        <w:rPr>
          <w:rFonts w:hint="eastAsia"/>
          <w:lang w:val="en-US" w:eastAsia="zh-CN"/>
        </w:rPr>
        <w:t>。依托大平台、大团队、大项目支撑，围绕“产、教、研、创”深度融合，探索创新研究生培养新模式，指导学生全方位深度参与科研学习实践，</w:t>
      </w:r>
      <w:r>
        <w:rPr>
          <w:rFonts w:hint="eastAsia"/>
        </w:rPr>
        <w:t>提升科研综合素质和创新能力</w:t>
      </w:r>
      <w:r>
        <w:rPr>
          <w:rFonts w:hint="default"/>
          <w:lang w:eastAsia="zh-CN"/>
        </w:rPr>
        <w:t>。</w:t>
      </w:r>
      <w:r>
        <w:rPr>
          <w:rFonts w:hint="eastAsia"/>
          <w:b w:val="0"/>
          <w:bCs w:val="0"/>
          <w:lang w:val="en-US" w:eastAsia="zh-Hans"/>
        </w:rPr>
        <w:t>二</w:t>
      </w:r>
      <w:r>
        <w:rPr>
          <w:rFonts w:hint="eastAsia"/>
          <w:b w:val="0"/>
          <w:bCs w:val="0"/>
          <w:lang w:val="en-US" w:eastAsia="zh-CN"/>
        </w:rPr>
        <w:t>是</w:t>
      </w:r>
      <w:r>
        <w:rPr>
          <w:rFonts w:hint="eastAsia" w:eastAsia="宋体"/>
          <w:b w:val="0"/>
          <w:bCs w:val="0"/>
          <w:lang w:eastAsia="zh-CN"/>
        </w:rPr>
        <w:t>探索建立</w:t>
      </w:r>
      <w:r>
        <w:rPr>
          <w:rFonts w:hint="eastAsia" w:ascii="Times New Roman" w:eastAsia="宋体"/>
          <w:b w:val="0"/>
          <w:bCs w:val="0"/>
          <w:lang w:val="en-US" w:eastAsia="zh-CN"/>
        </w:rPr>
        <w:t>研究生</w:t>
      </w:r>
      <w:r>
        <w:rPr>
          <w:rFonts w:hint="eastAsia" w:eastAsia="宋体"/>
          <w:b w:val="0"/>
          <w:bCs w:val="0"/>
          <w:lang w:eastAsia="zh-CN"/>
        </w:rPr>
        <w:t>校外实践基地</w:t>
      </w:r>
      <w:r>
        <w:rPr>
          <w:rFonts w:hint="eastAsia" w:eastAsia="宋体"/>
          <w:lang w:eastAsia="zh-CN"/>
        </w:rPr>
        <w:t>，可采取与企业、金融机构或经济管理部门联合申报研究生工作站、合作开展课题研究的方式构建实践基地，提高学生的</w:t>
      </w:r>
      <w:r>
        <w:rPr>
          <w:rFonts w:hint="eastAsia" w:ascii="Times New Roman" w:eastAsia="宋体"/>
          <w:lang w:val="en-US" w:eastAsia="zh-CN"/>
        </w:rPr>
        <w:t>实践操作</w:t>
      </w:r>
      <w:r>
        <w:rPr>
          <w:rFonts w:hint="eastAsia" w:eastAsia="宋体"/>
          <w:lang w:eastAsia="zh-CN"/>
        </w:rPr>
        <w:t>能力。</w:t>
      </w:r>
      <w:r>
        <w:rPr>
          <w:rFonts w:hint="eastAsia"/>
          <w:b w:val="0"/>
          <w:bCs w:val="0"/>
          <w:lang w:val="en-US" w:eastAsia="zh-Hans"/>
        </w:rPr>
        <w:t>三</w:t>
      </w:r>
      <w:r>
        <w:rPr>
          <w:rFonts w:hint="eastAsia"/>
          <w:b w:val="0"/>
          <w:bCs w:val="0"/>
          <w:lang w:val="en-US" w:eastAsia="zh-CN"/>
        </w:rPr>
        <w:t>是</w:t>
      </w:r>
      <w:r>
        <w:rPr>
          <w:rFonts w:hint="eastAsia"/>
          <w:b w:val="0"/>
          <w:bCs w:val="0"/>
        </w:rPr>
        <w:t>继续</w:t>
      </w:r>
      <w:r>
        <w:rPr>
          <w:rFonts w:hint="eastAsia"/>
          <w:b w:val="0"/>
          <w:bCs w:val="0"/>
          <w:lang w:val="en-US" w:eastAsia="zh-Hans"/>
        </w:rPr>
        <w:t>鼓励</w:t>
      </w:r>
      <w:r>
        <w:rPr>
          <w:rFonts w:hint="eastAsia"/>
          <w:b w:val="0"/>
          <w:bCs w:val="0"/>
        </w:rPr>
        <w:t>研究生深度参与应用决策研究</w:t>
      </w:r>
      <w:r>
        <w:rPr>
          <w:rFonts w:hint="eastAsia"/>
          <w:highlight w:val="none"/>
          <w:lang w:eastAsia="zh-CN"/>
        </w:rPr>
        <w:t>，</w:t>
      </w:r>
      <w:r>
        <w:rPr>
          <w:rFonts w:hint="eastAsia"/>
        </w:rPr>
        <w:t>引导学生深入社会实践、关注现实问题，强化问题意识</w:t>
      </w:r>
      <w:r>
        <w:rPr>
          <w:rFonts w:hint="eastAsia" w:eastAsia="宋体"/>
          <w:lang w:eastAsia="zh-CN"/>
        </w:rPr>
        <w:t>，</w:t>
      </w:r>
      <w:r>
        <w:rPr>
          <w:rFonts w:hint="eastAsia" w:ascii="Times New Roman" w:eastAsia="宋体"/>
          <w:highlight w:val="none"/>
          <w:lang w:val="en-US" w:eastAsia="zh-CN"/>
        </w:rPr>
        <w:t>通过全过程</w:t>
      </w:r>
      <w:r>
        <w:rPr>
          <w:rFonts w:hint="eastAsia" w:eastAsia="宋体"/>
          <w:highlight w:val="none"/>
          <w:lang w:eastAsia="zh-CN"/>
        </w:rPr>
        <w:t>参与省政府、地方政府的重大战略和重要政策问题研究，</w:t>
      </w:r>
      <w:r>
        <w:rPr>
          <w:rFonts w:hint="eastAsia" w:ascii="Times New Roman" w:eastAsia="宋体"/>
          <w:highlight w:val="none"/>
          <w:lang w:val="en-US" w:eastAsia="zh-CN"/>
        </w:rPr>
        <w:t>熟悉掌握</w:t>
      </w:r>
      <w:r>
        <w:rPr>
          <w:rFonts w:hint="eastAsia" w:eastAsia="宋体"/>
          <w:highlight w:val="none"/>
          <w:lang w:eastAsia="zh-CN"/>
        </w:rPr>
        <w:t>国家、省、市经济政策和经济社会发展态势，</w:t>
      </w:r>
      <w:r>
        <w:rPr>
          <w:rFonts w:hint="eastAsia"/>
          <w:highlight w:val="none"/>
          <w:lang w:eastAsia="zh-CN"/>
        </w:rPr>
        <w:t>提高研究生的决策咨询研究能力。</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2"/>
        <w:textAlignment w:val="auto"/>
        <w:rPr>
          <w:rFonts w:hint="eastAsia"/>
          <w:lang w:val="en-US" w:eastAsia="zh-CN"/>
        </w:rPr>
      </w:pPr>
      <w:r>
        <w:rPr>
          <w:rFonts w:hint="eastAsia"/>
          <w:b/>
          <w:bCs/>
          <w:lang w:val="en-US" w:eastAsia="zh-CN"/>
        </w:rPr>
        <w:t>（3）加强课程体系建设全面提高教育质量</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2"/>
        <w:textAlignment w:val="auto"/>
        <w:rPr>
          <w:rFonts w:hint="default" w:eastAsia="宋体"/>
          <w:lang w:val="en-US" w:eastAsia="zh-CN"/>
        </w:rPr>
      </w:pPr>
      <w:r>
        <w:rPr>
          <w:rFonts w:hint="eastAsia"/>
          <w:lang w:val="en-US" w:eastAsia="zh-CN"/>
        </w:rPr>
        <w:t>加强研究生教材及课程体系内涵建设，</w:t>
      </w:r>
      <w:r>
        <w:rPr>
          <w:rFonts w:hint="eastAsia"/>
          <w:highlight w:val="none"/>
          <w:lang w:val="en-US" w:eastAsia="zh-CN"/>
        </w:rPr>
        <w:t>从任课教师、课程组织、授课质量、教材建设、课程评价与条件保障</w:t>
      </w:r>
      <w:r>
        <w:rPr>
          <w:rFonts w:hint="eastAsia"/>
          <w:lang w:val="en-US" w:eastAsia="zh-CN"/>
        </w:rPr>
        <w:t>六个方面</w:t>
      </w:r>
      <w:r>
        <w:rPr>
          <w:rFonts w:hint="eastAsia"/>
        </w:rPr>
        <w:t>系统</w:t>
      </w:r>
      <w:r>
        <w:rPr>
          <w:rFonts w:hint="eastAsia"/>
          <w:lang w:val="en-US" w:eastAsia="zh-CN"/>
        </w:rPr>
        <w:t>构建研究生课程质量保障体系</w:t>
      </w:r>
      <w:r>
        <w:rPr>
          <w:rFonts w:hint="default"/>
          <w:lang w:eastAsia="zh-CN"/>
        </w:rPr>
        <w:t>，</w:t>
      </w:r>
      <w:r>
        <w:rPr>
          <w:rFonts w:hint="eastAsia"/>
          <w:lang w:val="en-US" w:eastAsia="zh-CN"/>
        </w:rPr>
        <w:t>全面提升研究生教育教学质量。</w:t>
      </w:r>
      <w:r>
        <w:rPr>
          <w:rFonts w:hint="eastAsia"/>
          <w:b w:val="0"/>
          <w:bCs w:val="0"/>
          <w:lang w:val="en-US" w:eastAsia="zh-CN"/>
        </w:rPr>
        <w:t>一是严格导师“准入</w:t>
      </w:r>
      <w:r>
        <w:rPr>
          <w:rFonts w:hint="eastAsia"/>
          <w:b w:val="0"/>
          <w:bCs w:val="0"/>
          <w:lang w:val="en-US" w:eastAsia="zh-Hans"/>
        </w:rPr>
        <w:t>退出</w:t>
      </w:r>
      <w:r>
        <w:rPr>
          <w:rFonts w:hint="eastAsia"/>
          <w:b w:val="0"/>
          <w:bCs w:val="0"/>
          <w:lang w:val="en-US" w:eastAsia="zh-CN"/>
        </w:rPr>
        <w:t>机制”</w:t>
      </w:r>
      <w:r>
        <w:rPr>
          <w:rFonts w:hint="eastAsia"/>
          <w:lang w:val="en-US" w:eastAsia="zh-CN"/>
        </w:rPr>
        <w:t>，聚焦立德树人根本任务，把</w:t>
      </w:r>
      <w:r>
        <w:rPr>
          <w:rFonts w:hint="eastAsia"/>
          <w:lang w:val="en-US" w:eastAsia="zh-Hans"/>
        </w:rPr>
        <w:t>深化理论教学</w:t>
      </w:r>
      <w:r>
        <w:rPr>
          <w:rFonts w:hint="default"/>
          <w:lang w:eastAsia="zh-Hans"/>
        </w:rPr>
        <w:t>、</w:t>
      </w:r>
      <w:r>
        <w:rPr>
          <w:rFonts w:hint="eastAsia"/>
          <w:lang w:val="en-US" w:eastAsia="zh-Hans"/>
        </w:rPr>
        <w:t>注重实践应用等</w:t>
      </w:r>
      <w:r>
        <w:rPr>
          <w:rFonts w:hint="eastAsia"/>
          <w:lang w:val="en-US" w:eastAsia="zh-CN"/>
        </w:rPr>
        <w:t>作为重点内容，不断提升</w:t>
      </w:r>
      <w:r>
        <w:rPr>
          <w:rFonts w:hint="eastAsia"/>
          <w:lang w:val="en-US" w:eastAsia="zh-Hans"/>
        </w:rPr>
        <w:t>教学</w:t>
      </w:r>
      <w:r>
        <w:rPr>
          <w:rFonts w:hint="eastAsia"/>
          <w:lang w:val="en-US" w:eastAsia="zh-CN"/>
        </w:rPr>
        <w:t>质量。</w:t>
      </w:r>
      <w:r>
        <w:rPr>
          <w:rFonts w:hint="eastAsia"/>
          <w:b w:val="0"/>
          <w:bCs w:val="0"/>
          <w:lang w:val="en-US" w:eastAsia="zh-CN"/>
        </w:rPr>
        <w:t>二是进一步推进课程内涵建设</w:t>
      </w:r>
      <w:r>
        <w:rPr>
          <w:rFonts w:hint="default"/>
          <w:lang w:eastAsia="zh-CN"/>
        </w:rPr>
        <w:t>。</w:t>
      </w:r>
      <w:r>
        <w:rPr>
          <w:rFonts w:hint="eastAsia"/>
          <w:lang w:val="en-US" w:eastAsia="zh-CN"/>
        </w:rPr>
        <w:t>突出研究生课程的前沿性与创新性</w:t>
      </w:r>
      <w:r>
        <w:rPr>
          <w:rFonts w:hint="default"/>
          <w:lang w:eastAsia="zh-CN"/>
        </w:rPr>
        <w:t>，</w:t>
      </w:r>
      <w:r>
        <w:rPr>
          <w:rFonts w:hint="eastAsia"/>
          <w:lang w:val="en-US" w:eastAsia="zh-CN"/>
        </w:rPr>
        <w:t>鼓励导师结合相关学科教学和科研的最新进展，积极开设学术前沿课程和</w:t>
      </w:r>
      <w:r>
        <w:rPr>
          <w:rFonts w:hint="default"/>
          <w:lang w:val="en-US" w:eastAsia="zh-CN"/>
        </w:rPr>
        <w:t>专题</w:t>
      </w:r>
      <w:r>
        <w:rPr>
          <w:rFonts w:hint="eastAsia"/>
          <w:lang w:val="en-US" w:eastAsia="zh-CN"/>
        </w:rPr>
        <w:t>选修</w:t>
      </w:r>
      <w:r>
        <w:rPr>
          <w:rFonts w:hint="default"/>
          <w:lang w:val="en-US" w:eastAsia="zh-CN"/>
        </w:rPr>
        <w:t>课</w:t>
      </w:r>
      <w:r>
        <w:rPr>
          <w:rFonts w:hint="eastAsia"/>
          <w:lang w:val="en-US" w:eastAsia="zh-CN"/>
        </w:rPr>
        <w:t>程；支持特色课程教材申报，积极将习近平新时代中国特色社会主义经济思想纳入课程教学，指导学生深刻理解把握习近平总书记重要讲话的丰富内涵、精髓要义和实践要求</w:t>
      </w:r>
      <w:r>
        <w:rPr>
          <w:rFonts w:hint="default"/>
          <w:lang w:eastAsia="zh-CN"/>
        </w:rPr>
        <w:t>。</w:t>
      </w:r>
      <w:r>
        <w:rPr>
          <w:rFonts w:hint="eastAsia"/>
          <w:lang w:val="en-US" w:eastAsia="zh-CN"/>
        </w:rPr>
        <w:t>同时，</w:t>
      </w:r>
      <w:r>
        <w:rPr>
          <w:rFonts w:hint="default"/>
          <w:lang w:val="en-US" w:eastAsia="zh-CN"/>
        </w:rPr>
        <w:t>可依托社科院</w:t>
      </w:r>
      <w:r>
        <w:rPr>
          <w:rFonts w:hint="eastAsia"/>
          <w:lang w:val="en-US" w:eastAsia="zh-Hans"/>
        </w:rPr>
        <w:t>决策咨政</w:t>
      </w:r>
      <w:r>
        <w:rPr>
          <w:rFonts w:hint="default"/>
          <w:lang w:val="en-US" w:eastAsia="zh-CN"/>
        </w:rPr>
        <w:t>优势，调整</w:t>
      </w:r>
      <w:r>
        <w:rPr>
          <w:rFonts w:hint="eastAsia"/>
          <w:lang w:val="en-US" w:eastAsia="zh-Hans"/>
        </w:rPr>
        <w:t>优化</w:t>
      </w:r>
      <w:r>
        <w:rPr>
          <w:rFonts w:hint="default"/>
          <w:lang w:val="en-US" w:eastAsia="zh-CN"/>
        </w:rPr>
        <w:t>部分课程设置。</w:t>
      </w:r>
      <w:r>
        <w:rPr>
          <w:rFonts w:hint="eastAsia"/>
          <w:b w:val="0"/>
          <w:bCs w:val="0"/>
          <w:lang w:val="en-US" w:eastAsia="zh-CN"/>
        </w:rPr>
        <w:t>三是全面提升授课质量</w:t>
      </w:r>
      <w:r>
        <w:rPr>
          <w:rFonts w:hint="eastAsia"/>
          <w:lang w:val="en-US" w:eastAsia="zh-CN"/>
        </w:rPr>
        <w:t>，严格按照教学大纲和课程体系建设要求，规范授课内容，</w:t>
      </w:r>
      <w:r>
        <w:rPr>
          <w:rFonts w:hint="eastAsia"/>
          <w:lang w:val="en-US" w:eastAsia="zh-Hans"/>
        </w:rPr>
        <w:t>丰富教学手段</w:t>
      </w:r>
      <w:r>
        <w:rPr>
          <w:rFonts w:hint="default"/>
          <w:lang w:eastAsia="zh-Hans"/>
        </w:rPr>
        <w:t>，</w:t>
      </w:r>
      <w:r>
        <w:rPr>
          <w:rFonts w:hint="default"/>
          <w:lang w:val="en-US" w:eastAsia="zh-CN"/>
        </w:rPr>
        <w:t>专业课可考虑和高校联合培养</w:t>
      </w:r>
      <w:r>
        <w:rPr>
          <w:rFonts w:hint="eastAsia"/>
          <w:lang w:val="en-US" w:eastAsia="zh-Hans"/>
        </w:rPr>
        <w:t>的模式开展教学合作</w:t>
      </w:r>
      <w:r>
        <w:rPr>
          <w:rFonts w:hint="default"/>
          <w:lang w:val="en-US" w:eastAsia="zh-CN"/>
        </w:rPr>
        <w:t>，切实提升学生</w:t>
      </w:r>
      <w:r>
        <w:rPr>
          <w:rFonts w:hint="eastAsia"/>
          <w:lang w:val="en-US" w:eastAsia="zh-CN"/>
        </w:rPr>
        <w:t>专业素养</w:t>
      </w:r>
      <w:r>
        <w:rPr>
          <w:rFonts w:hint="default"/>
          <w:lang w:val="en-US" w:eastAsia="zh-CN"/>
        </w:rPr>
        <w:t>。</w:t>
      </w:r>
      <w:r>
        <w:rPr>
          <w:rFonts w:hint="eastAsia"/>
          <w:b w:val="0"/>
          <w:bCs w:val="0"/>
          <w:lang w:val="en-US" w:eastAsia="zh-Hans"/>
        </w:rPr>
        <w:t>四</w:t>
      </w:r>
      <w:r>
        <w:rPr>
          <w:rFonts w:hint="eastAsia"/>
          <w:b w:val="0"/>
          <w:bCs w:val="0"/>
          <w:lang w:val="en-US" w:eastAsia="zh-CN"/>
        </w:rPr>
        <w:t>是继续强化研究生课程教学和培养</w:t>
      </w:r>
      <w:r>
        <w:rPr>
          <w:rFonts w:hint="eastAsia"/>
        </w:rPr>
        <w:t>全</w:t>
      </w:r>
      <w:r>
        <w:rPr>
          <w:rFonts w:hint="eastAsia"/>
          <w:b w:val="0"/>
          <w:bCs w:val="0"/>
          <w:lang w:val="en-US" w:eastAsia="zh-CN"/>
        </w:rPr>
        <w:t>过程监督管理，</w:t>
      </w:r>
      <w:r>
        <w:rPr>
          <w:rFonts w:hint="eastAsia"/>
          <w:b w:val="0"/>
          <w:bCs w:val="0"/>
          <w:lang w:val="en-US" w:eastAsia="zh-Hans"/>
        </w:rPr>
        <w:t>在</w:t>
      </w:r>
      <w:r>
        <w:rPr>
          <w:rFonts w:hint="eastAsia"/>
          <w:lang w:val="en-US" w:eastAsia="zh-CN"/>
        </w:rPr>
        <w:t>抓好研究生培养</w:t>
      </w:r>
      <w:r>
        <w:rPr>
          <w:rFonts w:hint="eastAsia"/>
          <w:lang w:val="en-US" w:eastAsia="zh-Hans"/>
        </w:rPr>
        <w:t>入口关</w:t>
      </w:r>
      <w:r>
        <w:rPr>
          <w:rFonts w:hint="default"/>
          <w:lang w:eastAsia="zh-Hans"/>
        </w:rPr>
        <w:t>、</w:t>
      </w:r>
      <w:r>
        <w:rPr>
          <w:rFonts w:hint="eastAsia"/>
          <w:lang w:val="en-US" w:eastAsia="zh-Hans"/>
        </w:rPr>
        <w:t>出口关的同时</w:t>
      </w:r>
      <w:r>
        <w:rPr>
          <w:rFonts w:hint="default"/>
          <w:lang w:eastAsia="zh-Hans"/>
        </w:rPr>
        <w:t>，</w:t>
      </w:r>
      <w:r>
        <w:rPr>
          <w:rFonts w:hint="eastAsia"/>
          <w:lang w:val="en-US" w:eastAsia="zh-Hans"/>
        </w:rPr>
        <w:t>紧紧瞄准</w:t>
      </w:r>
      <w:r>
        <w:rPr>
          <w:rFonts w:hint="eastAsia"/>
          <w:lang w:val="en-US" w:eastAsia="zh-CN"/>
        </w:rPr>
        <w:t>中间环节，继续完善课程教学</w:t>
      </w:r>
      <w:r>
        <w:rPr>
          <w:rFonts w:hint="eastAsia"/>
          <w:lang w:val="en-US" w:eastAsia="zh-Hans"/>
        </w:rPr>
        <w:t>系统</w:t>
      </w:r>
      <w:r>
        <w:rPr>
          <w:rFonts w:hint="eastAsia"/>
          <w:lang w:val="en-US" w:eastAsia="zh-CN"/>
        </w:rPr>
        <w:t>评估办法</w:t>
      </w:r>
      <w:r>
        <w:rPr>
          <w:rFonts w:hint="default"/>
          <w:lang w:eastAsia="zh-CN"/>
        </w:rPr>
        <w:t>，</w:t>
      </w:r>
      <w:r>
        <w:rPr>
          <w:rFonts w:hint="eastAsia"/>
          <w:lang w:val="en-US" w:eastAsia="zh-CN"/>
        </w:rPr>
        <w:t>加强教学过程质量建设与监督。</w:t>
      </w:r>
    </w:p>
    <w:sectPr>
      <w:footerReference r:id="rId11" w:type="default"/>
      <w:footnotePr>
        <w:numFmt w:val="decimalEnclosedCircleChinese"/>
        <w:numRestart w:val="eachPage"/>
      </w:footnotePr>
      <w:pgSz w:w="11906" w:h="16838"/>
      <w:pgMar w:top="1440" w:right="1800" w:bottom="1440" w:left="1800" w:header="851" w:footer="850"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570886-9F29-4AE6-A760-B0831D63045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2D8BA258-B7C0-485A-B23C-8C99356C6847}"/>
  </w:font>
  <w:font w:name="方正小标宋_GBK">
    <w:panose1 w:val="02000000000000000000"/>
    <w:charset w:val="86"/>
    <w:family w:val="auto"/>
    <w:pitch w:val="default"/>
    <w:sig w:usb0="00000001" w:usb1="08000000" w:usb2="00000000" w:usb3="00000000" w:csb0="00040000" w:csb1="00000000"/>
    <w:embedRegular r:id="rId3" w:fontKey="{284F8CAF-46CD-4AA1-A153-89085C051DCB}"/>
  </w:font>
  <w:font w:name="楷体">
    <w:panose1 w:val="02010609060101010101"/>
    <w:charset w:val="86"/>
    <w:family w:val="modern"/>
    <w:pitch w:val="default"/>
    <w:sig w:usb0="800002BF" w:usb1="38CF7CFA" w:usb2="00000016" w:usb3="00000000" w:csb0="00040001" w:csb1="00000000"/>
    <w:embedRegular r:id="rId4" w:fontKey="{836269D5-6A71-449D-91CE-6DA41699DC2E}"/>
  </w:font>
  <w:font w:name="仿宋">
    <w:panose1 w:val="02010609060101010101"/>
    <w:charset w:val="86"/>
    <w:family w:val="modern"/>
    <w:pitch w:val="default"/>
    <w:sig w:usb0="800002BF" w:usb1="38CF7CFA" w:usb2="00000016" w:usb3="00000000" w:csb0="00040001" w:csb1="00000000"/>
    <w:embedRegular r:id="rId5" w:fontKey="{8E9E3D0C-483E-4397-BDA8-18C18F9E2328}"/>
  </w:font>
  <w:font w:name="CESI宋体-GB2312">
    <w:altName w:val="宋体"/>
    <w:panose1 w:val="02000500000000000000"/>
    <w:charset w:val="86"/>
    <w:family w:val="auto"/>
    <w:pitch w:val="default"/>
    <w:sig w:usb0="00000000" w:usb1="00000000" w:usb2="00000010" w:usb3="00000000" w:csb0="0004000F" w:csb1="00000000"/>
    <w:embedRegular r:id="rId6" w:fontKey="{9FD407BB-F709-4FF2-AE7A-563B47F7A2C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III</w:t>
                          </w:r>
                          <w: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bl0d0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r7izAlLA7/8+H75+fvy6xtb&#10;Jnn6ECvKuguUh8NrP9DSzP5IzsR6aMGmP/FhFCdxz1dx1YBMpkvr1XpdUkhSbD4QfnF/PUDEt8pb&#10;loyaA00viypO7yOOqXNKqub8rTYmT9C4vxyEmTxF6n3sMVk47IeJ0N43Z+JDz4DqdB6+ctbTEtTc&#10;0c5zZt450jjty2zAbOxnQzhJF2uOnI3mGxz36hhAH7q8aampGF4dkTrNBFIbY+2pOxprlmBawbQ3&#10;D8856/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m5dHdAQAAvgMAAA4AAAAAAAAA&#10;AQAgAAAAHgEAAGRycy9lMm9Eb2MueG1sUEsFBgAAAAAGAAYAWQEAAG0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3NDhkZjNmNjQyNTVkMmQ4YzlmOTQyNGQyODRiZTkifQ=="/>
  </w:docVars>
  <w:rsids>
    <w:rsidRoot w:val="00E35209"/>
    <w:rsid w:val="000001C8"/>
    <w:rsid w:val="00002DCE"/>
    <w:rsid w:val="000049EE"/>
    <w:rsid w:val="00004B13"/>
    <w:rsid w:val="0001421F"/>
    <w:rsid w:val="00031862"/>
    <w:rsid w:val="00041125"/>
    <w:rsid w:val="000452F7"/>
    <w:rsid w:val="00066246"/>
    <w:rsid w:val="00072034"/>
    <w:rsid w:val="000751D0"/>
    <w:rsid w:val="00082604"/>
    <w:rsid w:val="00087EFA"/>
    <w:rsid w:val="0009725A"/>
    <w:rsid w:val="000A66A9"/>
    <w:rsid w:val="000B2ADC"/>
    <w:rsid w:val="000B3BB3"/>
    <w:rsid w:val="000B44D3"/>
    <w:rsid w:val="000C107D"/>
    <w:rsid w:val="000C2287"/>
    <w:rsid w:val="000C3FD9"/>
    <w:rsid w:val="000C4B34"/>
    <w:rsid w:val="000C4D16"/>
    <w:rsid w:val="000C56E8"/>
    <w:rsid w:val="000D2D6A"/>
    <w:rsid w:val="000D379B"/>
    <w:rsid w:val="000D39D3"/>
    <w:rsid w:val="000D5EE9"/>
    <w:rsid w:val="000D7EEF"/>
    <w:rsid w:val="000F23B1"/>
    <w:rsid w:val="000F3B9D"/>
    <w:rsid w:val="000F47C8"/>
    <w:rsid w:val="000F4DC0"/>
    <w:rsid w:val="000F5AF6"/>
    <w:rsid w:val="000F5D71"/>
    <w:rsid w:val="000F713B"/>
    <w:rsid w:val="00104708"/>
    <w:rsid w:val="001210B2"/>
    <w:rsid w:val="00124D05"/>
    <w:rsid w:val="00124EA2"/>
    <w:rsid w:val="00125B66"/>
    <w:rsid w:val="00136E77"/>
    <w:rsid w:val="00145631"/>
    <w:rsid w:val="00150C02"/>
    <w:rsid w:val="00155193"/>
    <w:rsid w:val="00167D0A"/>
    <w:rsid w:val="0017197C"/>
    <w:rsid w:val="0017378A"/>
    <w:rsid w:val="001859EF"/>
    <w:rsid w:val="00191C51"/>
    <w:rsid w:val="00193161"/>
    <w:rsid w:val="00194C3D"/>
    <w:rsid w:val="00194C7F"/>
    <w:rsid w:val="001961A5"/>
    <w:rsid w:val="001A1D59"/>
    <w:rsid w:val="001A2EA2"/>
    <w:rsid w:val="001A3880"/>
    <w:rsid w:val="001A3B12"/>
    <w:rsid w:val="001A5D16"/>
    <w:rsid w:val="001A60CE"/>
    <w:rsid w:val="001B3525"/>
    <w:rsid w:val="001B789C"/>
    <w:rsid w:val="001C1D63"/>
    <w:rsid w:val="001C36A0"/>
    <w:rsid w:val="001C4F93"/>
    <w:rsid w:val="001C70C1"/>
    <w:rsid w:val="001D090A"/>
    <w:rsid w:val="001D53DE"/>
    <w:rsid w:val="001E0E55"/>
    <w:rsid w:val="001E49DF"/>
    <w:rsid w:val="001E7A6A"/>
    <w:rsid w:val="001F22ED"/>
    <w:rsid w:val="001F27E1"/>
    <w:rsid w:val="00200C4B"/>
    <w:rsid w:val="00201E16"/>
    <w:rsid w:val="002061AD"/>
    <w:rsid w:val="00207BAE"/>
    <w:rsid w:val="00212037"/>
    <w:rsid w:val="00222283"/>
    <w:rsid w:val="00223EC0"/>
    <w:rsid w:val="002256AB"/>
    <w:rsid w:val="00235552"/>
    <w:rsid w:val="00235582"/>
    <w:rsid w:val="0023710A"/>
    <w:rsid w:val="0023710B"/>
    <w:rsid w:val="002410F1"/>
    <w:rsid w:val="002517AE"/>
    <w:rsid w:val="002610E2"/>
    <w:rsid w:val="00262F3C"/>
    <w:rsid w:val="0027480C"/>
    <w:rsid w:val="002755AA"/>
    <w:rsid w:val="00285679"/>
    <w:rsid w:val="002A071B"/>
    <w:rsid w:val="002B0CA1"/>
    <w:rsid w:val="002B6BA1"/>
    <w:rsid w:val="002D175E"/>
    <w:rsid w:val="002D230D"/>
    <w:rsid w:val="002D3679"/>
    <w:rsid w:val="002D37B6"/>
    <w:rsid w:val="002D59D0"/>
    <w:rsid w:val="002E6ED0"/>
    <w:rsid w:val="002F3144"/>
    <w:rsid w:val="00300860"/>
    <w:rsid w:val="00302F95"/>
    <w:rsid w:val="00324675"/>
    <w:rsid w:val="0033443A"/>
    <w:rsid w:val="003345E8"/>
    <w:rsid w:val="00337412"/>
    <w:rsid w:val="00341526"/>
    <w:rsid w:val="00341DC4"/>
    <w:rsid w:val="00346458"/>
    <w:rsid w:val="00347345"/>
    <w:rsid w:val="00364681"/>
    <w:rsid w:val="003655E5"/>
    <w:rsid w:val="003677BD"/>
    <w:rsid w:val="00374886"/>
    <w:rsid w:val="00375441"/>
    <w:rsid w:val="00382E1C"/>
    <w:rsid w:val="003847BE"/>
    <w:rsid w:val="003848F2"/>
    <w:rsid w:val="0039005B"/>
    <w:rsid w:val="00394E04"/>
    <w:rsid w:val="00395C28"/>
    <w:rsid w:val="003A0061"/>
    <w:rsid w:val="003B21A4"/>
    <w:rsid w:val="003B26FC"/>
    <w:rsid w:val="003C2AB4"/>
    <w:rsid w:val="003D3A1F"/>
    <w:rsid w:val="003D5146"/>
    <w:rsid w:val="003D59F4"/>
    <w:rsid w:val="003E3B1A"/>
    <w:rsid w:val="003F3852"/>
    <w:rsid w:val="003F7471"/>
    <w:rsid w:val="004021B2"/>
    <w:rsid w:val="00403B4A"/>
    <w:rsid w:val="00405EAC"/>
    <w:rsid w:val="00411784"/>
    <w:rsid w:val="004139D8"/>
    <w:rsid w:val="004201E6"/>
    <w:rsid w:val="00424EE5"/>
    <w:rsid w:val="004413AD"/>
    <w:rsid w:val="00447C03"/>
    <w:rsid w:val="004527B9"/>
    <w:rsid w:val="00465548"/>
    <w:rsid w:val="00470126"/>
    <w:rsid w:val="00473163"/>
    <w:rsid w:val="0048167B"/>
    <w:rsid w:val="00481922"/>
    <w:rsid w:val="00491DEC"/>
    <w:rsid w:val="0049604B"/>
    <w:rsid w:val="004960C2"/>
    <w:rsid w:val="004A32A8"/>
    <w:rsid w:val="004B5F47"/>
    <w:rsid w:val="004B6D59"/>
    <w:rsid w:val="004D35F4"/>
    <w:rsid w:val="004D79B6"/>
    <w:rsid w:val="004E2B37"/>
    <w:rsid w:val="004F3232"/>
    <w:rsid w:val="005004E8"/>
    <w:rsid w:val="00501F93"/>
    <w:rsid w:val="00504451"/>
    <w:rsid w:val="0050515D"/>
    <w:rsid w:val="00511038"/>
    <w:rsid w:val="00516030"/>
    <w:rsid w:val="00521C16"/>
    <w:rsid w:val="0053339D"/>
    <w:rsid w:val="005341E8"/>
    <w:rsid w:val="0053534E"/>
    <w:rsid w:val="0053572A"/>
    <w:rsid w:val="00547FF5"/>
    <w:rsid w:val="00551757"/>
    <w:rsid w:val="00552229"/>
    <w:rsid w:val="00552AC7"/>
    <w:rsid w:val="005531B0"/>
    <w:rsid w:val="005531E6"/>
    <w:rsid w:val="00553D7B"/>
    <w:rsid w:val="0055574E"/>
    <w:rsid w:val="005709AF"/>
    <w:rsid w:val="0057325E"/>
    <w:rsid w:val="00573457"/>
    <w:rsid w:val="005925D7"/>
    <w:rsid w:val="005A3F0D"/>
    <w:rsid w:val="005B12A6"/>
    <w:rsid w:val="005B36F1"/>
    <w:rsid w:val="005B4D42"/>
    <w:rsid w:val="005B67E4"/>
    <w:rsid w:val="005B70EC"/>
    <w:rsid w:val="005C6258"/>
    <w:rsid w:val="005D0881"/>
    <w:rsid w:val="005D2C4C"/>
    <w:rsid w:val="005D3C09"/>
    <w:rsid w:val="005D563D"/>
    <w:rsid w:val="005E460D"/>
    <w:rsid w:val="005E66E5"/>
    <w:rsid w:val="005F6EE8"/>
    <w:rsid w:val="005F7E65"/>
    <w:rsid w:val="0060141F"/>
    <w:rsid w:val="00601FB9"/>
    <w:rsid w:val="0060333E"/>
    <w:rsid w:val="006033CD"/>
    <w:rsid w:val="0060414A"/>
    <w:rsid w:val="00605549"/>
    <w:rsid w:val="00605A5B"/>
    <w:rsid w:val="006149A2"/>
    <w:rsid w:val="00616804"/>
    <w:rsid w:val="00620798"/>
    <w:rsid w:val="0062107B"/>
    <w:rsid w:val="00624B89"/>
    <w:rsid w:val="00632B2C"/>
    <w:rsid w:val="00643728"/>
    <w:rsid w:val="00650959"/>
    <w:rsid w:val="00654A0E"/>
    <w:rsid w:val="0065626C"/>
    <w:rsid w:val="0066141C"/>
    <w:rsid w:val="00661709"/>
    <w:rsid w:val="00661729"/>
    <w:rsid w:val="006625B2"/>
    <w:rsid w:val="006646DD"/>
    <w:rsid w:val="00670089"/>
    <w:rsid w:val="0067430D"/>
    <w:rsid w:val="006748C0"/>
    <w:rsid w:val="00675390"/>
    <w:rsid w:val="00684CCD"/>
    <w:rsid w:val="00685B09"/>
    <w:rsid w:val="00687C02"/>
    <w:rsid w:val="00687F22"/>
    <w:rsid w:val="00692FA7"/>
    <w:rsid w:val="0069647D"/>
    <w:rsid w:val="006A2B1B"/>
    <w:rsid w:val="006A37C3"/>
    <w:rsid w:val="006A7616"/>
    <w:rsid w:val="006B5597"/>
    <w:rsid w:val="006C790F"/>
    <w:rsid w:val="006D106D"/>
    <w:rsid w:val="006D380F"/>
    <w:rsid w:val="006E3A94"/>
    <w:rsid w:val="006F0288"/>
    <w:rsid w:val="006F0A45"/>
    <w:rsid w:val="006F2226"/>
    <w:rsid w:val="006F6A8F"/>
    <w:rsid w:val="00700530"/>
    <w:rsid w:val="00700609"/>
    <w:rsid w:val="00706E4B"/>
    <w:rsid w:val="00720716"/>
    <w:rsid w:val="00732078"/>
    <w:rsid w:val="007450B9"/>
    <w:rsid w:val="007452C9"/>
    <w:rsid w:val="00746190"/>
    <w:rsid w:val="0074794E"/>
    <w:rsid w:val="007509CC"/>
    <w:rsid w:val="0075433C"/>
    <w:rsid w:val="007553B8"/>
    <w:rsid w:val="007618EB"/>
    <w:rsid w:val="0076676F"/>
    <w:rsid w:val="00767A00"/>
    <w:rsid w:val="00772F3F"/>
    <w:rsid w:val="0077490F"/>
    <w:rsid w:val="00775490"/>
    <w:rsid w:val="00780EF8"/>
    <w:rsid w:val="007856DF"/>
    <w:rsid w:val="00787AC1"/>
    <w:rsid w:val="00796585"/>
    <w:rsid w:val="007A2067"/>
    <w:rsid w:val="007A4FDB"/>
    <w:rsid w:val="007B5A34"/>
    <w:rsid w:val="007B614C"/>
    <w:rsid w:val="007C1D11"/>
    <w:rsid w:val="007C3870"/>
    <w:rsid w:val="007C7C36"/>
    <w:rsid w:val="007E1F59"/>
    <w:rsid w:val="007F1E02"/>
    <w:rsid w:val="007F62F0"/>
    <w:rsid w:val="008070F7"/>
    <w:rsid w:val="008102F1"/>
    <w:rsid w:val="00810973"/>
    <w:rsid w:val="00810F72"/>
    <w:rsid w:val="00813CB4"/>
    <w:rsid w:val="00814744"/>
    <w:rsid w:val="008147D3"/>
    <w:rsid w:val="0082291D"/>
    <w:rsid w:val="00826598"/>
    <w:rsid w:val="008333AA"/>
    <w:rsid w:val="008423ED"/>
    <w:rsid w:val="008454D8"/>
    <w:rsid w:val="0085211A"/>
    <w:rsid w:val="00860CD1"/>
    <w:rsid w:val="00863051"/>
    <w:rsid w:val="008631B9"/>
    <w:rsid w:val="00863B59"/>
    <w:rsid w:val="008673C8"/>
    <w:rsid w:val="00877A2F"/>
    <w:rsid w:val="00882CD7"/>
    <w:rsid w:val="00884C05"/>
    <w:rsid w:val="008854CB"/>
    <w:rsid w:val="00892E8C"/>
    <w:rsid w:val="008A1F20"/>
    <w:rsid w:val="008B07A6"/>
    <w:rsid w:val="008B088D"/>
    <w:rsid w:val="008B3E0C"/>
    <w:rsid w:val="008C3B44"/>
    <w:rsid w:val="008C56B1"/>
    <w:rsid w:val="008D315D"/>
    <w:rsid w:val="008E4985"/>
    <w:rsid w:val="008E771A"/>
    <w:rsid w:val="008F1409"/>
    <w:rsid w:val="00906F9C"/>
    <w:rsid w:val="0091273E"/>
    <w:rsid w:val="00923E57"/>
    <w:rsid w:val="00925E25"/>
    <w:rsid w:val="00936276"/>
    <w:rsid w:val="00954529"/>
    <w:rsid w:val="00964259"/>
    <w:rsid w:val="0096455B"/>
    <w:rsid w:val="00967379"/>
    <w:rsid w:val="009673AA"/>
    <w:rsid w:val="00967612"/>
    <w:rsid w:val="0097167E"/>
    <w:rsid w:val="009839A9"/>
    <w:rsid w:val="00990052"/>
    <w:rsid w:val="009910FE"/>
    <w:rsid w:val="00993CBC"/>
    <w:rsid w:val="009A247D"/>
    <w:rsid w:val="009A3E12"/>
    <w:rsid w:val="009C1D2B"/>
    <w:rsid w:val="009E3DEB"/>
    <w:rsid w:val="009E590B"/>
    <w:rsid w:val="009E69EB"/>
    <w:rsid w:val="009F2F0D"/>
    <w:rsid w:val="009F3F6C"/>
    <w:rsid w:val="009F42DA"/>
    <w:rsid w:val="009F4877"/>
    <w:rsid w:val="009F5EC1"/>
    <w:rsid w:val="00A06C6D"/>
    <w:rsid w:val="00A0756A"/>
    <w:rsid w:val="00A12204"/>
    <w:rsid w:val="00A1566D"/>
    <w:rsid w:val="00A22725"/>
    <w:rsid w:val="00A3150E"/>
    <w:rsid w:val="00A32E97"/>
    <w:rsid w:val="00A32F31"/>
    <w:rsid w:val="00A33A15"/>
    <w:rsid w:val="00A33E63"/>
    <w:rsid w:val="00A3470B"/>
    <w:rsid w:val="00A3487E"/>
    <w:rsid w:val="00A37B6C"/>
    <w:rsid w:val="00A4019C"/>
    <w:rsid w:val="00A41C64"/>
    <w:rsid w:val="00A46A54"/>
    <w:rsid w:val="00A578D7"/>
    <w:rsid w:val="00A64F8D"/>
    <w:rsid w:val="00A65DC4"/>
    <w:rsid w:val="00A71561"/>
    <w:rsid w:val="00A76AC0"/>
    <w:rsid w:val="00A778A5"/>
    <w:rsid w:val="00A81423"/>
    <w:rsid w:val="00A82D4D"/>
    <w:rsid w:val="00A9150C"/>
    <w:rsid w:val="00A91F6E"/>
    <w:rsid w:val="00A97522"/>
    <w:rsid w:val="00AA3489"/>
    <w:rsid w:val="00AA716D"/>
    <w:rsid w:val="00AA7724"/>
    <w:rsid w:val="00AB5086"/>
    <w:rsid w:val="00AB5F5E"/>
    <w:rsid w:val="00AB6437"/>
    <w:rsid w:val="00AC177C"/>
    <w:rsid w:val="00AC414A"/>
    <w:rsid w:val="00AC5C1C"/>
    <w:rsid w:val="00AC6DF1"/>
    <w:rsid w:val="00AC7E62"/>
    <w:rsid w:val="00AD2115"/>
    <w:rsid w:val="00AD4294"/>
    <w:rsid w:val="00AD4981"/>
    <w:rsid w:val="00AE0CBB"/>
    <w:rsid w:val="00AE794E"/>
    <w:rsid w:val="00AE7C44"/>
    <w:rsid w:val="00AF1302"/>
    <w:rsid w:val="00AF31BE"/>
    <w:rsid w:val="00AF324D"/>
    <w:rsid w:val="00AF47E2"/>
    <w:rsid w:val="00AF6CAC"/>
    <w:rsid w:val="00B04895"/>
    <w:rsid w:val="00B100F3"/>
    <w:rsid w:val="00B15C60"/>
    <w:rsid w:val="00B315AE"/>
    <w:rsid w:val="00B31964"/>
    <w:rsid w:val="00B36FCE"/>
    <w:rsid w:val="00B44F46"/>
    <w:rsid w:val="00B5628F"/>
    <w:rsid w:val="00B576FE"/>
    <w:rsid w:val="00B626B1"/>
    <w:rsid w:val="00B65445"/>
    <w:rsid w:val="00B715F0"/>
    <w:rsid w:val="00B84482"/>
    <w:rsid w:val="00B92363"/>
    <w:rsid w:val="00B9562A"/>
    <w:rsid w:val="00B959CB"/>
    <w:rsid w:val="00BB04AA"/>
    <w:rsid w:val="00BB2381"/>
    <w:rsid w:val="00BB2702"/>
    <w:rsid w:val="00BB34C4"/>
    <w:rsid w:val="00BB5511"/>
    <w:rsid w:val="00BB7E20"/>
    <w:rsid w:val="00BC1DC8"/>
    <w:rsid w:val="00BC40AD"/>
    <w:rsid w:val="00BC69CD"/>
    <w:rsid w:val="00BD0BE2"/>
    <w:rsid w:val="00BD59F9"/>
    <w:rsid w:val="00BD7D2C"/>
    <w:rsid w:val="00BE0485"/>
    <w:rsid w:val="00BE104D"/>
    <w:rsid w:val="00BE6F2F"/>
    <w:rsid w:val="00BF1BA6"/>
    <w:rsid w:val="00C05192"/>
    <w:rsid w:val="00C05202"/>
    <w:rsid w:val="00C14DD7"/>
    <w:rsid w:val="00C212B3"/>
    <w:rsid w:val="00C22524"/>
    <w:rsid w:val="00C2425E"/>
    <w:rsid w:val="00C24CBE"/>
    <w:rsid w:val="00C34B73"/>
    <w:rsid w:val="00C3638D"/>
    <w:rsid w:val="00C5301A"/>
    <w:rsid w:val="00C603FA"/>
    <w:rsid w:val="00C60437"/>
    <w:rsid w:val="00C6330B"/>
    <w:rsid w:val="00C640B4"/>
    <w:rsid w:val="00C64A39"/>
    <w:rsid w:val="00C66D25"/>
    <w:rsid w:val="00C7208C"/>
    <w:rsid w:val="00C737AB"/>
    <w:rsid w:val="00C85DFC"/>
    <w:rsid w:val="00C878D2"/>
    <w:rsid w:val="00C968A7"/>
    <w:rsid w:val="00C979DC"/>
    <w:rsid w:val="00CA42D1"/>
    <w:rsid w:val="00CA4DD0"/>
    <w:rsid w:val="00CB1BC0"/>
    <w:rsid w:val="00CB3814"/>
    <w:rsid w:val="00CB4923"/>
    <w:rsid w:val="00CC3289"/>
    <w:rsid w:val="00CC49D5"/>
    <w:rsid w:val="00CC5FFF"/>
    <w:rsid w:val="00CC74FD"/>
    <w:rsid w:val="00CD6192"/>
    <w:rsid w:val="00CF26E4"/>
    <w:rsid w:val="00CF3DB2"/>
    <w:rsid w:val="00CF5193"/>
    <w:rsid w:val="00CF5686"/>
    <w:rsid w:val="00CF5BCA"/>
    <w:rsid w:val="00D05C51"/>
    <w:rsid w:val="00D06EAA"/>
    <w:rsid w:val="00D1083C"/>
    <w:rsid w:val="00D13A9F"/>
    <w:rsid w:val="00D14F0A"/>
    <w:rsid w:val="00D20A29"/>
    <w:rsid w:val="00D2666D"/>
    <w:rsid w:val="00D32E95"/>
    <w:rsid w:val="00D44873"/>
    <w:rsid w:val="00D4750C"/>
    <w:rsid w:val="00D622BA"/>
    <w:rsid w:val="00D66276"/>
    <w:rsid w:val="00D67A36"/>
    <w:rsid w:val="00D71A1F"/>
    <w:rsid w:val="00D73D78"/>
    <w:rsid w:val="00D76D31"/>
    <w:rsid w:val="00D82090"/>
    <w:rsid w:val="00D82CBC"/>
    <w:rsid w:val="00D85FD2"/>
    <w:rsid w:val="00D86EF0"/>
    <w:rsid w:val="00D9012D"/>
    <w:rsid w:val="00D947DC"/>
    <w:rsid w:val="00DA386E"/>
    <w:rsid w:val="00DA7183"/>
    <w:rsid w:val="00DB75DA"/>
    <w:rsid w:val="00DC0CB2"/>
    <w:rsid w:val="00DD584F"/>
    <w:rsid w:val="00DE15D2"/>
    <w:rsid w:val="00DE5E53"/>
    <w:rsid w:val="00DE5EFD"/>
    <w:rsid w:val="00DE6E2C"/>
    <w:rsid w:val="00DF1686"/>
    <w:rsid w:val="00DF44DD"/>
    <w:rsid w:val="00DF7969"/>
    <w:rsid w:val="00E01AD1"/>
    <w:rsid w:val="00E02309"/>
    <w:rsid w:val="00E04A86"/>
    <w:rsid w:val="00E05D37"/>
    <w:rsid w:val="00E1138C"/>
    <w:rsid w:val="00E14D6E"/>
    <w:rsid w:val="00E23065"/>
    <w:rsid w:val="00E3145A"/>
    <w:rsid w:val="00E34D46"/>
    <w:rsid w:val="00E35209"/>
    <w:rsid w:val="00E35B1E"/>
    <w:rsid w:val="00E51C14"/>
    <w:rsid w:val="00E53B34"/>
    <w:rsid w:val="00E552DB"/>
    <w:rsid w:val="00E5775C"/>
    <w:rsid w:val="00E65489"/>
    <w:rsid w:val="00E66F6D"/>
    <w:rsid w:val="00E70774"/>
    <w:rsid w:val="00E76013"/>
    <w:rsid w:val="00E81AAB"/>
    <w:rsid w:val="00E83451"/>
    <w:rsid w:val="00E90674"/>
    <w:rsid w:val="00EA6B9A"/>
    <w:rsid w:val="00EB07DA"/>
    <w:rsid w:val="00EB7499"/>
    <w:rsid w:val="00EC33A2"/>
    <w:rsid w:val="00ED6647"/>
    <w:rsid w:val="00ED6F88"/>
    <w:rsid w:val="00ED7E41"/>
    <w:rsid w:val="00EE08D4"/>
    <w:rsid w:val="00EE6763"/>
    <w:rsid w:val="00EF62EA"/>
    <w:rsid w:val="00EF696B"/>
    <w:rsid w:val="00F02474"/>
    <w:rsid w:val="00F03CE2"/>
    <w:rsid w:val="00F04CD5"/>
    <w:rsid w:val="00F20A17"/>
    <w:rsid w:val="00F21433"/>
    <w:rsid w:val="00F228B3"/>
    <w:rsid w:val="00F31574"/>
    <w:rsid w:val="00F32CF5"/>
    <w:rsid w:val="00F43175"/>
    <w:rsid w:val="00F552C2"/>
    <w:rsid w:val="00F552D5"/>
    <w:rsid w:val="00F56282"/>
    <w:rsid w:val="00F57B28"/>
    <w:rsid w:val="00F721FE"/>
    <w:rsid w:val="00F7748D"/>
    <w:rsid w:val="00F77A5F"/>
    <w:rsid w:val="00F8301D"/>
    <w:rsid w:val="00F84554"/>
    <w:rsid w:val="00F85652"/>
    <w:rsid w:val="00F85A39"/>
    <w:rsid w:val="00F9010B"/>
    <w:rsid w:val="00F93EA0"/>
    <w:rsid w:val="00FA00A3"/>
    <w:rsid w:val="00FA2500"/>
    <w:rsid w:val="00FA2607"/>
    <w:rsid w:val="00FB2319"/>
    <w:rsid w:val="00FB33E8"/>
    <w:rsid w:val="00FB3BFC"/>
    <w:rsid w:val="00FB3F05"/>
    <w:rsid w:val="00FB4627"/>
    <w:rsid w:val="00FB4A19"/>
    <w:rsid w:val="00FB7319"/>
    <w:rsid w:val="00FC1E74"/>
    <w:rsid w:val="00FC3893"/>
    <w:rsid w:val="00FC5ED4"/>
    <w:rsid w:val="00FC7651"/>
    <w:rsid w:val="00FD5163"/>
    <w:rsid w:val="00FD770E"/>
    <w:rsid w:val="00FD7FF2"/>
    <w:rsid w:val="00FE35E3"/>
    <w:rsid w:val="00FE62E1"/>
    <w:rsid w:val="00FF3BE9"/>
    <w:rsid w:val="00FF6D5B"/>
    <w:rsid w:val="0109685C"/>
    <w:rsid w:val="010D7DD7"/>
    <w:rsid w:val="01317F69"/>
    <w:rsid w:val="0136393F"/>
    <w:rsid w:val="013E61E2"/>
    <w:rsid w:val="015754F6"/>
    <w:rsid w:val="015D606D"/>
    <w:rsid w:val="016110B2"/>
    <w:rsid w:val="01657C13"/>
    <w:rsid w:val="017460A8"/>
    <w:rsid w:val="018362EB"/>
    <w:rsid w:val="01842F50"/>
    <w:rsid w:val="01A52705"/>
    <w:rsid w:val="01AF0E8E"/>
    <w:rsid w:val="01B36BD0"/>
    <w:rsid w:val="01B97F5E"/>
    <w:rsid w:val="01C74429"/>
    <w:rsid w:val="01D46B46"/>
    <w:rsid w:val="01E21263"/>
    <w:rsid w:val="01FB2325"/>
    <w:rsid w:val="01FD42EF"/>
    <w:rsid w:val="01FF1E15"/>
    <w:rsid w:val="020A62D3"/>
    <w:rsid w:val="02145195"/>
    <w:rsid w:val="02182ED7"/>
    <w:rsid w:val="021A362A"/>
    <w:rsid w:val="022B0E5C"/>
    <w:rsid w:val="022B2C0A"/>
    <w:rsid w:val="022D1457"/>
    <w:rsid w:val="024C2B81"/>
    <w:rsid w:val="024E4B4B"/>
    <w:rsid w:val="025D08EA"/>
    <w:rsid w:val="026327E8"/>
    <w:rsid w:val="0264611C"/>
    <w:rsid w:val="026659F0"/>
    <w:rsid w:val="02691984"/>
    <w:rsid w:val="026D3223"/>
    <w:rsid w:val="027345B1"/>
    <w:rsid w:val="027A5940"/>
    <w:rsid w:val="027A76EE"/>
    <w:rsid w:val="027D0F8C"/>
    <w:rsid w:val="02900CBF"/>
    <w:rsid w:val="02A24112"/>
    <w:rsid w:val="02AD1871"/>
    <w:rsid w:val="02AF383B"/>
    <w:rsid w:val="02BA5D3C"/>
    <w:rsid w:val="02DA1F3A"/>
    <w:rsid w:val="02E01C47"/>
    <w:rsid w:val="02E35293"/>
    <w:rsid w:val="02E828A9"/>
    <w:rsid w:val="02F21513"/>
    <w:rsid w:val="02FA25DD"/>
    <w:rsid w:val="0306101E"/>
    <w:rsid w:val="030B6598"/>
    <w:rsid w:val="03200C20"/>
    <w:rsid w:val="032B6C3A"/>
    <w:rsid w:val="033124A2"/>
    <w:rsid w:val="0332621A"/>
    <w:rsid w:val="03393105"/>
    <w:rsid w:val="03563CB7"/>
    <w:rsid w:val="03830824"/>
    <w:rsid w:val="039842CF"/>
    <w:rsid w:val="039B5B6E"/>
    <w:rsid w:val="03A03184"/>
    <w:rsid w:val="03A04F32"/>
    <w:rsid w:val="03B7227C"/>
    <w:rsid w:val="03BC7892"/>
    <w:rsid w:val="03D35307"/>
    <w:rsid w:val="03D55266"/>
    <w:rsid w:val="03DE5A5A"/>
    <w:rsid w:val="03E5328D"/>
    <w:rsid w:val="040A2CF3"/>
    <w:rsid w:val="040F20B8"/>
    <w:rsid w:val="044B1342"/>
    <w:rsid w:val="045D72C7"/>
    <w:rsid w:val="04602913"/>
    <w:rsid w:val="04675A50"/>
    <w:rsid w:val="046A7E99"/>
    <w:rsid w:val="04893C18"/>
    <w:rsid w:val="048B7990"/>
    <w:rsid w:val="048E56D2"/>
    <w:rsid w:val="048E7480"/>
    <w:rsid w:val="04904FA7"/>
    <w:rsid w:val="049179EE"/>
    <w:rsid w:val="049D76C3"/>
    <w:rsid w:val="04A013C5"/>
    <w:rsid w:val="04B367D7"/>
    <w:rsid w:val="04B52C5F"/>
    <w:rsid w:val="04C81AE6"/>
    <w:rsid w:val="04CE5ACF"/>
    <w:rsid w:val="04F419D9"/>
    <w:rsid w:val="04FD0162"/>
    <w:rsid w:val="05031C1C"/>
    <w:rsid w:val="05087233"/>
    <w:rsid w:val="05145BD8"/>
    <w:rsid w:val="05237BC9"/>
    <w:rsid w:val="053A1C31"/>
    <w:rsid w:val="05412745"/>
    <w:rsid w:val="05465FAD"/>
    <w:rsid w:val="054D40F8"/>
    <w:rsid w:val="05616943"/>
    <w:rsid w:val="05656433"/>
    <w:rsid w:val="05852631"/>
    <w:rsid w:val="058F525E"/>
    <w:rsid w:val="05986704"/>
    <w:rsid w:val="059B1E55"/>
    <w:rsid w:val="05A351AD"/>
    <w:rsid w:val="05AA02EA"/>
    <w:rsid w:val="05B922DB"/>
    <w:rsid w:val="05E32322"/>
    <w:rsid w:val="05EC445F"/>
    <w:rsid w:val="05F31C91"/>
    <w:rsid w:val="05F362C2"/>
    <w:rsid w:val="05F61781"/>
    <w:rsid w:val="06005216"/>
    <w:rsid w:val="06052BB4"/>
    <w:rsid w:val="06112117"/>
    <w:rsid w:val="061614DB"/>
    <w:rsid w:val="061834A6"/>
    <w:rsid w:val="06190FCC"/>
    <w:rsid w:val="061D76FA"/>
    <w:rsid w:val="06231E4A"/>
    <w:rsid w:val="063E0A32"/>
    <w:rsid w:val="06451DC1"/>
    <w:rsid w:val="06531971"/>
    <w:rsid w:val="06640D03"/>
    <w:rsid w:val="066466EB"/>
    <w:rsid w:val="066E7569"/>
    <w:rsid w:val="067526A6"/>
    <w:rsid w:val="068723D9"/>
    <w:rsid w:val="06897852"/>
    <w:rsid w:val="068C109B"/>
    <w:rsid w:val="069D7E4F"/>
    <w:rsid w:val="069F5975"/>
    <w:rsid w:val="06BE311E"/>
    <w:rsid w:val="06D25D4A"/>
    <w:rsid w:val="06D373CC"/>
    <w:rsid w:val="06D45BC3"/>
    <w:rsid w:val="06D870D9"/>
    <w:rsid w:val="06D9380E"/>
    <w:rsid w:val="06DB44D3"/>
    <w:rsid w:val="06E65352"/>
    <w:rsid w:val="06E67100"/>
    <w:rsid w:val="06E94E42"/>
    <w:rsid w:val="06F15AA5"/>
    <w:rsid w:val="06F55595"/>
    <w:rsid w:val="06FC4B75"/>
    <w:rsid w:val="070659F4"/>
    <w:rsid w:val="0708176C"/>
    <w:rsid w:val="070E48A8"/>
    <w:rsid w:val="07181283"/>
    <w:rsid w:val="07245E7A"/>
    <w:rsid w:val="07302A71"/>
    <w:rsid w:val="073E47A4"/>
    <w:rsid w:val="073E53BF"/>
    <w:rsid w:val="073F2CB4"/>
    <w:rsid w:val="0749768F"/>
    <w:rsid w:val="074D53D1"/>
    <w:rsid w:val="07746409"/>
    <w:rsid w:val="07762B7A"/>
    <w:rsid w:val="07950B26"/>
    <w:rsid w:val="07990616"/>
    <w:rsid w:val="07A174CB"/>
    <w:rsid w:val="07A34FF1"/>
    <w:rsid w:val="07B23486"/>
    <w:rsid w:val="07C41284"/>
    <w:rsid w:val="07C5765D"/>
    <w:rsid w:val="07D21D7A"/>
    <w:rsid w:val="07D473BF"/>
    <w:rsid w:val="07E121CF"/>
    <w:rsid w:val="07E61381"/>
    <w:rsid w:val="07FD078E"/>
    <w:rsid w:val="080D690E"/>
    <w:rsid w:val="082223BA"/>
    <w:rsid w:val="083253E5"/>
    <w:rsid w:val="083E11BD"/>
    <w:rsid w:val="086230FE"/>
    <w:rsid w:val="086329D2"/>
    <w:rsid w:val="086504F8"/>
    <w:rsid w:val="086E1AA3"/>
    <w:rsid w:val="086E3851"/>
    <w:rsid w:val="08824CDD"/>
    <w:rsid w:val="08853147"/>
    <w:rsid w:val="088A61B1"/>
    <w:rsid w:val="08AB6853"/>
    <w:rsid w:val="08AC4379"/>
    <w:rsid w:val="08B35707"/>
    <w:rsid w:val="08C6543B"/>
    <w:rsid w:val="08E458C1"/>
    <w:rsid w:val="08F059AA"/>
    <w:rsid w:val="08F16230"/>
    <w:rsid w:val="08FC0E5C"/>
    <w:rsid w:val="091C32AD"/>
    <w:rsid w:val="091D0DD3"/>
    <w:rsid w:val="092108C3"/>
    <w:rsid w:val="092520E3"/>
    <w:rsid w:val="09334672"/>
    <w:rsid w:val="093700E7"/>
    <w:rsid w:val="094E3682"/>
    <w:rsid w:val="09723EBB"/>
    <w:rsid w:val="097A7FD3"/>
    <w:rsid w:val="097F55EA"/>
    <w:rsid w:val="098311F5"/>
    <w:rsid w:val="0992356F"/>
    <w:rsid w:val="0994433E"/>
    <w:rsid w:val="09B41737"/>
    <w:rsid w:val="09C069C2"/>
    <w:rsid w:val="09CF47C3"/>
    <w:rsid w:val="09D27E0F"/>
    <w:rsid w:val="09F9539C"/>
    <w:rsid w:val="0A0124A3"/>
    <w:rsid w:val="0A1B5312"/>
    <w:rsid w:val="0A1C49E3"/>
    <w:rsid w:val="0A1F0F5F"/>
    <w:rsid w:val="0A20501F"/>
    <w:rsid w:val="0A2166A1"/>
    <w:rsid w:val="0A2C39C3"/>
    <w:rsid w:val="0A481E7F"/>
    <w:rsid w:val="0A4F1714"/>
    <w:rsid w:val="0A6071C9"/>
    <w:rsid w:val="0A740EC6"/>
    <w:rsid w:val="0A747118"/>
    <w:rsid w:val="0A891865"/>
    <w:rsid w:val="0A9D666F"/>
    <w:rsid w:val="0AA23C86"/>
    <w:rsid w:val="0ABB2FF3"/>
    <w:rsid w:val="0ACC0D02"/>
    <w:rsid w:val="0AD35E95"/>
    <w:rsid w:val="0B1D50BA"/>
    <w:rsid w:val="0B1F7084"/>
    <w:rsid w:val="0B2621C1"/>
    <w:rsid w:val="0B3A4C5C"/>
    <w:rsid w:val="0B446AEB"/>
    <w:rsid w:val="0B460AB5"/>
    <w:rsid w:val="0B4906CC"/>
    <w:rsid w:val="0B5A4560"/>
    <w:rsid w:val="0B814C18"/>
    <w:rsid w:val="0B8A24F4"/>
    <w:rsid w:val="0B907258"/>
    <w:rsid w:val="0BAA1044"/>
    <w:rsid w:val="0BB35A1E"/>
    <w:rsid w:val="0BBC2189"/>
    <w:rsid w:val="0BC814CA"/>
    <w:rsid w:val="0BC82066"/>
    <w:rsid w:val="0BCB720C"/>
    <w:rsid w:val="0BD22349"/>
    <w:rsid w:val="0BD46270"/>
    <w:rsid w:val="0BD7795F"/>
    <w:rsid w:val="0BE81B6C"/>
    <w:rsid w:val="0BF64289"/>
    <w:rsid w:val="0BF95B27"/>
    <w:rsid w:val="0BF978D5"/>
    <w:rsid w:val="0C061354"/>
    <w:rsid w:val="0C087B18"/>
    <w:rsid w:val="0C1160EA"/>
    <w:rsid w:val="0C1530FE"/>
    <w:rsid w:val="0C25691C"/>
    <w:rsid w:val="0C3E353A"/>
    <w:rsid w:val="0C405504"/>
    <w:rsid w:val="0C436DA2"/>
    <w:rsid w:val="0C4D5E73"/>
    <w:rsid w:val="0C632FA1"/>
    <w:rsid w:val="0C692CAD"/>
    <w:rsid w:val="0C721436"/>
    <w:rsid w:val="0C7A2566"/>
    <w:rsid w:val="0C7B02EA"/>
    <w:rsid w:val="0C807FF6"/>
    <w:rsid w:val="0C833643"/>
    <w:rsid w:val="0C873133"/>
    <w:rsid w:val="0C8F3D96"/>
    <w:rsid w:val="0C9D4705"/>
    <w:rsid w:val="0CA21D1B"/>
    <w:rsid w:val="0CD12600"/>
    <w:rsid w:val="0CD81BE1"/>
    <w:rsid w:val="0CE560AB"/>
    <w:rsid w:val="0CF63E15"/>
    <w:rsid w:val="0D006A41"/>
    <w:rsid w:val="0D0E12E6"/>
    <w:rsid w:val="0D181FDD"/>
    <w:rsid w:val="0D183D8B"/>
    <w:rsid w:val="0D246BD4"/>
    <w:rsid w:val="0D531267"/>
    <w:rsid w:val="0D5374B9"/>
    <w:rsid w:val="0D774F56"/>
    <w:rsid w:val="0D8458C4"/>
    <w:rsid w:val="0D8E04F1"/>
    <w:rsid w:val="0DA90E87"/>
    <w:rsid w:val="0DAB4BFF"/>
    <w:rsid w:val="0DB3710C"/>
    <w:rsid w:val="0DBA7538"/>
    <w:rsid w:val="0DD57ECE"/>
    <w:rsid w:val="0DE85E53"/>
    <w:rsid w:val="0DF361AB"/>
    <w:rsid w:val="0E083E00"/>
    <w:rsid w:val="0E0E6EB4"/>
    <w:rsid w:val="0E1102E7"/>
    <w:rsid w:val="0E1704E7"/>
    <w:rsid w:val="0E1F1149"/>
    <w:rsid w:val="0E230C39"/>
    <w:rsid w:val="0E26072A"/>
    <w:rsid w:val="0E2844A2"/>
    <w:rsid w:val="0E2C5A8D"/>
    <w:rsid w:val="0E3E3CC5"/>
    <w:rsid w:val="0E4660B3"/>
    <w:rsid w:val="0E5A03D3"/>
    <w:rsid w:val="0E6B25E0"/>
    <w:rsid w:val="0E7B0A75"/>
    <w:rsid w:val="0E8611C8"/>
    <w:rsid w:val="0E8F4FB9"/>
    <w:rsid w:val="0E9E29B6"/>
    <w:rsid w:val="0E9E736C"/>
    <w:rsid w:val="0EA115D7"/>
    <w:rsid w:val="0EC341CA"/>
    <w:rsid w:val="0EC72CAF"/>
    <w:rsid w:val="0ECF4419"/>
    <w:rsid w:val="0ED62150"/>
    <w:rsid w:val="0EDC7743"/>
    <w:rsid w:val="0EF213C3"/>
    <w:rsid w:val="0EF70990"/>
    <w:rsid w:val="0F07055B"/>
    <w:rsid w:val="0F0A1DF9"/>
    <w:rsid w:val="0F182998"/>
    <w:rsid w:val="0F2C1D70"/>
    <w:rsid w:val="0F3D75E0"/>
    <w:rsid w:val="0F492922"/>
    <w:rsid w:val="0F587009"/>
    <w:rsid w:val="0F59068B"/>
    <w:rsid w:val="0F5B2655"/>
    <w:rsid w:val="0F5C551E"/>
    <w:rsid w:val="0F5F5CA1"/>
    <w:rsid w:val="0F6C6610"/>
    <w:rsid w:val="0F7C43D3"/>
    <w:rsid w:val="0F8E47D8"/>
    <w:rsid w:val="0FA056E4"/>
    <w:rsid w:val="0FAC2EB1"/>
    <w:rsid w:val="0FB35FED"/>
    <w:rsid w:val="0FC63F72"/>
    <w:rsid w:val="0FDC19E8"/>
    <w:rsid w:val="0FE54FEE"/>
    <w:rsid w:val="0FE80C30"/>
    <w:rsid w:val="0FFA1E6E"/>
    <w:rsid w:val="0FFC1742"/>
    <w:rsid w:val="10036F74"/>
    <w:rsid w:val="100827DD"/>
    <w:rsid w:val="1008458B"/>
    <w:rsid w:val="10264A11"/>
    <w:rsid w:val="103A670E"/>
    <w:rsid w:val="103E7FAD"/>
    <w:rsid w:val="10771710"/>
    <w:rsid w:val="10797237"/>
    <w:rsid w:val="10826665"/>
    <w:rsid w:val="10861954"/>
    <w:rsid w:val="108A31F2"/>
    <w:rsid w:val="10B14C22"/>
    <w:rsid w:val="10B4026F"/>
    <w:rsid w:val="10B40F54"/>
    <w:rsid w:val="10CF50A9"/>
    <w:rsid w:val="10DB1C9F"/>
    <w:rsid w:val="10E30B54"/>
    <w:rsid w:val="10EA0134"/>
    <w:rsid w:val="10EC7A09"/>
    <w:rsid w:val="10F7015B"/>
    <w:rsid w:val="10FD7E68"/>
    <w:rsid w:val="110034B4"/>
    <w:rsid w:val="110C1E59"/>
    <w:rsid w:val="11357601"/>
    <w:rsid w:val="113969C6"/>
    <w:rsid w:val="114333A1"/>
    <w:rsid w:val="114A123E"/>
    <w:rsid w:val="114B3A27"/>
    <w:rsid w:val="117F087D"/>
    <w:rsid w:val="117F1068"/>
    <w:rsid w:val="119B4F8B"/>
    <w:rsid w:val="11A01790"/>
    <w:rsid w:val="11AE4D38"/>
    <w:rsid w:val="11B06C88"/>
    <w:rsid w:val="11B14D7C"/>
    <w:rsid w:val="11B76268"/>
    <w:rsid w:val="11D07A25"/>
    <w:rsid w:val="11E22BBA"/>
    <w:rsid w:val="11E46932"/>
    <w:rsid w:val="11F50B3F"/>
    <w:rsid w:val="11FA43A7"/>
    <w:rsid w:val="11FD5C45"/>
    <w:rsid w:val="12011292"/>
    <w:rsid w:val="12045226"/>
    <w:rsid w:val="120E39AF"/>
    <w:rsid w:val="12282CC2"/>
    <w:rsid w:val="122D2087"/>
    <w:rsid w:val="12301B77"/>
    <w:rsid w:val="12365E89"/>
    <w:rsid w:val="12445976"/>
    <w:rsid w:val="124A3F19"/>
    <w:rsid w:val="124F64A1"/>
    <w:rsid w:val="12515EA1"/>
    <w:rsid w:val="125A33FD"/>
    <w:rsid w:val="126F5BB2"/>
    <w:rsid w:val="12704669"/>
    <w:rsid w:val="12833A99"/>
    <w:rsid w:val="12A00530"/>
    <w:rsid w:val="12AD31C8"/>
    <w:rsid w:val="12C549B5"/>
    <w:rsid w:val="12CF1390"/>
    <w:rsid w:val="12D20E80"/>
    <w:rsid w:val="12E070F9"/>
    <w:rsid w:val="12FC7CAB"/>
    <w:rsid w:val="130628D8"/>
    <w:rsid w:val="131974C0"/>
    <w:rsid w:val="13270BA4"/>
    <w:rsid w:val="132B1D5A"/>
    <w:rsid w:val="132F0080"/>
    <w:rsid w:val="13421B62"/>
    <w:rsid w:val="13477178"/>
    <w:rsid w:val="13531FC1"/>
    <w:rsid w:val="13561AB1"/>
    <w:rsid w:val="135D4BEE"/>
    <w:rsid w:val="13651CF4"/>
    <w:rsid w:val="137837D5"/>
    <w:rsid w:val="1383397F"/>
    <w:rsid w:val="1384217A"/>
    <w:rsid w:val="139A7BF0"/>
    <w:rsid w:val="139B5716"/>
    <w:rsid w:val="13A75E69"/>
    <w:rsid w:val="13AD22D8"/>
    <w:rsid w:val="13B06B31"/>
    <w:rsid w:val="13B50586"/>
    <w:rsid w:val="13D03611"/>
    <w:rsid w:val="13D11138"/>
    <w:rsid w:val="13D61A1C"/>
    <w:rsid w:val="13D6674E"/>
    <w:rsid w:val="13F07810"/>
    <w:rsid w:val="13FA68E0"/>
    <w:rsid w:val="14074B59"/>
    <w:rsid w:val="141A488D"/>
    <w:rsid w:val="14294AD0"/>
    <w:rsid w:val="1437543F"/>
    <w:rsid w:val="143A0A8B"/>
    <w:rsid w:val="143D057B"/>
    <w:rsid w:val="144C6FE7"/>
    <w:rsid w:val="14641FAC"/>
    <w:rsid w:val="147E306D"/>
    <w:rsid w:val="147F6DE6"/>
    <w:rsid w:val="14891A12"/>
    <w:rsid w:val="149A777C"/>
    <w:rsid w:val="14A800EA"/>
    <w:rsid w:val="14AF76CB"/>
    <w:rsid w:val="14B6463B"/>
    <w:rsid w:val="14BA7061"/>
    <w:rsid w:val="14BF71E2"/>
    <w:rsid w:val="14D02C0A"/>
    <w:rsid w:val="14D077DD"/>
    <w:rsid w:val="14F450DE"/>
    <w:rsid w:val="14FE7D0A"/>
    <w:rsid w:val="150572EB"/>
    <w:rsid w:val="15101820"/>
    <w:rsid w:val="152B0248"/>
    <w:rsid w:val="15510782"/>
    <w:rsid w:val="155142DE"/>
    <w:rsid w:val="156000A8"/>
    <w:rsid w:val="15673B02"/>
    <w:rsid w:val="156A1844"/>
    <w:rsid w:val="157546EC"/>
    <w:rsid w:val="15783F61"/>
    <w:rsid w:val="158226E9"/>
    <w:rsid w:val="15842905"/>
    <w:rsid w:val="15872FBD"/>
    <w:rsid w:val="15A44D56"/>
    <w:rsid w:val="15A703A2"/>
    <w:rsid w:val="15A72150"/>
    <w:rsid w:val="15A755DB"/>
    <w:rsid w:val="15B46045"/>
    <w:rsid w:val="15B71F81"/>
    <w:rsid w:val="15B900D5"/>
    <w:rsid w:val="15C90318"/>
    <w:rsid w:val="15CC1BB7"/>
    <w:rsid w:val="15E45152"/>
    <w:rsid w:val="15E909BB"/>
    <w:rsid w:val="16021A7C"/>
    <w:rsid w:val="160752E5"/>
    <w:rsid w:val="161F618A"/>
    <w:rsid w:val="163C6D3C"/>
    <w:rsid w:val="165027E8"/>
    <w:rsid w:val="1652130D"/>
    <w:rsid w:val="165D6CB3"/>
    <w:rsid w:val="16685D83"/>
    <w:rsid w:val="1675224E"/>
    <w:rsid w:val="16753FFC"/>
    <w:rsid w:val="167C35DD"/>
    <w:rsid w:val="168626AD"/>
    <w:rsid w:val="16894972"/>
    <w:rsid w:val="168E11C7"/>
    <w:rsid w:val="169923E1"/>
    <w:rsid w:val="169A1CB5"/>
    <w:rsid w:val="169C3C7F"/>
    <w:rsid w:val="169C77DB"/>
    <w:rsid w:val="16A3500D"/>
    <w:rsid w:val="16AF0B11"/>
    <w:rsid w:val="16B54D41"/>
    <w:rsid w:val="16C62AAA"/>
    <w:rsid w:val="16CB00C0"/>
    <w:rsid w:val="16D43419"/>
    <w:rsid w:val="16FE2244"/>
    <w:rsid w:val="170770B4"/>
    <w:rsid w:val="17093352"/>
    <w:rsid w:val="170B4961"/>
    <w:rsid w:val="170D2487"/>
    <w:rsid w:val="17280B08"/>
    <w:rsid w:val="17283764"/>
    <w:rsid w:val="17285513"/>
    <w:rsid w:val="17347BAA"/>
    <w:rsid w:val="17397720"/>
    <w:rsid w:val="17463BEB"/>
    <w:rsid w:val="174D108A"/>
    <w:rsid w:val="175D340E"/>
    <w:rsid w:val="176522C3"/>
    <w:rsid w:val="176704DB"/>
    <w:rsid w:val="1767428D"/>
    <w:rsid w:val="17777930"/>
    <w:rsid w:val="1780534F"/>
    <w:rsid w:val="178C5E2B"/>
    <w:rsid w:val="178D5376"/>
    <w:rsid w:val="17B572A9"/>
    <w:rsid w:val="17BC29FD"/>
    <w:rsid w:val="17C808FA"/>
    <w:rsid w:val="17C94907"/>
    <w:rsid w:val="17D01310"/>
    <w:rsid w:val="17D11706"/>
    <w:rsid w:val="17D2722C"/>
    <w:rsid w:val="17D66D1D"/>
    <w:rsid w:val="17D9680D"/>
    <w:rsid w:val="17E53404"/>
    <w:rsid w:val="17EC6540"/>
    <w:rsid w:val="17F65BED"/>
    <w:rsid w:val="17F673BF"/>
    <w:rsid w:val="17F95A7B"/>
    <w:rsid w:val="18095344"/>
    <w:rsid w:val="181D0EF9"/>
    <w:rsid w:val="181E2472"/>
    <w:rsid w:val="18341D85"/>
    <w:rsid w:val="183B1275"/>
    <w:rsid w:val="18477708"/>
    <w:rsid w:val="184B770B"/>
    <w:rsid w:val="184F37E0"/>
    <w:rsid w:val="18504CAF"/>
    <w:rsid w:val="185E6093"/>
    <w:rsid w:val="18624A54"/>
    <w:rsid w:val="187D53EA"/>
    <w:rsid w:val="18891DD9"/>
    <w:rsid w:val="188E3A9B"/>
    <w:rsid w:val="18934C0E"/>
    <w:rsid w:val="18AE37F5"/>
    <w:rsid w:val="18AE7C99"/>
    <w:rsid w:val="18B51028"/>
    <w:rsid w:val="18B90B18"/>
    <w:rsid w:val="18C348DD"/>
    <w:rsid w:val="18DA6CE0"/>
    <w:rsid w:val="18E11E1D"/>
    <w:rsid w:val="18E436BB"/>
    <w:rsid w:val="18F27B86"/>
    <w:rsid w:val="19045B0B"/>
    <w:rsid w:val="19143FA0"/>
    <w:rsid w:val="191C05FE"/>
    <w:rsid w:val="191E6BCD"/>
    <w:rsid w:val="192835A8"/>
    <w:rsid w:val="193B5E3E"/>
    <w:rsid w:val="19636CD6"/>
    <w:rsid w:val="19644DA6"/>
    <w:rsid w:val="198509FA"/>
    <w:rsid w:val="198C7FDB"/>
    <w:rsid w:val="19940C3D"/>
    <w:rsid w:val="199A0735"/>
    <w:rsid w:val="199B1FCC"/>
    <w:rsid w:val="199E386A"/>
    <w:rsid w:val="19AF1F1B"/>
    <w:rsid w:val="19B17A41"/>
    <w:rsid w:val="19B65058"/>
    <w:rsid w:val="19BE5CBA"/>
    <w:rsid w:val="19D0740C"/>
    <w:rsid w:val="19D35C0A"/>
    <w:rsid w:val="19D41982"/>
    <w:rsid w:val="19D96F98"/>
    <w:rsid w:val="19E03E83"/>
    <w:rsid w:val="19E27BFB"/>
    <w:rsid w:val="19EF056A"/>
    <w:rsid w:val="19F636A6"/>
    <w:rsid w:val="1A02204B"/>
    <w:rsid w:val="1A1E68EB"/>
    <w:rsid w:val="1A226249"/>
    <w:rsid w:val="1A25109A"/>
    <w:rsid w:val="1A293A7B"/>
    <w:rsid w:val="1A2E1092"/>
    <w:rsid w:val="1A312930"/>
    <w:rsid w:val="1A372A80"/>
    <w:rsid w:val="1A552EF9"/>
    <w:rsid w:val="1A622AE9"/>
    <w:rsid w:val="1A74305E"/>
    <w:rsid w:val="1A75281D"/>
    <w:rsid w:val="1A7867B1"/>
    <w:rsid w:val="1A8A3DEE"/>
    <w:rsid w:val="1AC63078"/>
    <w:rsid w:val="1AEB0D31"/>
    <w:rsid w:val="1AFA71C6"/>
    <w:rsid w:val="1AFF2A2E"/>
    <w:rsid w:val="1B0C2198"/>
    <w:rsid w:val="1B214753"/>
    <w:rsid w:val="1B2B737F"/>
    <w:rsid w:val="1B3501FE"/>
    <w:rsid w:val="1B405118"/>
    <w:rsid w:val="1B446693"/>
    <w:rsid w:val="1B481CDF"/>
    <w:rsid w:val="1B5424BA"/>
    <w:rsid w:val="1B5468D6"/>
    <w:rsid w:val="1B6D5BEA"/>
    <w:rsid w:val="1B8003C8"/>
    <w:rsid w:val="1B8F790E"/>
    <w:rsid w:val="1B9375C5"/>
    <w:rsid w:val="1B9C027D"/>
    <w:rsid w:val="1B9D2470"/>
    <w:rsid w:val="1BAA0BEC"/>
    <w:rsid w:val="1BB27AA1"/>
    <w:rsid w:val="1BB479C4"/>
    <w:rsid w:val="1BC33A5C"/>
    <w:rsid w:val="1BE20386"/>
    <w:rsid w:val="1BE7599C"/>
    <w:rsid w:val="1BE834C2"/>
    <w:rsid w:val="1BEC2FB3"/>
    <w:rsid w:val="1BFA133A"/>
    <w:rsid w:val="1C094640"/>
    <w:rsid w:val="1C16002F"/>
    <w:rsid w:val="1C1D13BE"/>
    <w:rsid w:val="1C1D316C"/>
    <w:rsid w:val="1C202C5C"/>
    <w:rsid w:val="1C297D63"/>
    <w:rsid w:val="1C2A7637"/>
    <w:rsid w:val="1C450915"/>
    <w:rsid w:val="1C4526C3"/>
    <w:rsid w:val="1C536B8E"/>
    <w:rsid w:val="1C6B432E"/>
    <w:rsid w:val="1C715266"/>
    <w:rsid w:val="1C7558BE"/>
    <w:rsid w:val="1C9378D2"/>
    <w:rsid w:val="1C9633B4"/>
    <w:rsid w:val="1C9B74C6"/>
    <w:rsid w:val="1CB515F6"/>
    <w:rsid w:val="1CB57848"/>
    <w:rsid w:val="1CBA6C0D"/>
    <w:rsid w:val="1CC730D8"/>
    <w:rsid w:val="1CE65C54"/>
    <w:rsid w:val="1CE7377A"/>
    <w:rsid w:val="1CF06AD2"/>
    <w:rsid w:val="1CFA525B"/>
    <w:rsid w:val="1D003EA7"/>
    <w:rsid w:val="1D022A85"/>
    <w:rsid w:val="1D063C00"/>
    <w:rsid w:val="1D0E6F59"/>
    <w:rsid w:val="1D1722B1"/>
    <w:rsid w:val="1D1A76AB"/>
    <w:rsid w:val="1D1D719C"/>
    <w:rsid w:val="1D251AC3"/>
    <w:rsid w:val="1D3764AF"/>
    <w:rsid w:val="1D392227"/>
    <w:rsid w:val="1D6848BB"/>
    <w:rsid w:val="1D6D1ED1"/>
    <w:rsid w:val="1D6F5C49"/>
    <w:rsid w:val="1D715850"/>
    <w:rsid w:val="1D880AB9"/>
    <w:rsid w:val="1D9A259A"/>
    <w:rsid w:val="1DA17DCD"/>
    <w:rsid w:val="1DB33FAD"/>
    <w:rsid w:val="1DC55869"/>
    <w:rsid w:val="1DD41F50"/>
    <w:rsid w:val="1DE81558"/>
    <w:rsid w:val="1DED6B6E"/>
    <w:rsid w:val="1E0F11DA"/>
    <w:rsid w:val="1E110AAE"/>
    <w:rsid w:val="1E4946EC"/>
    <w:rsid w:val="1E4E7B56"/>
    <w:rsid w:val="1E592455"/>
    <w:rsid w:val="1E5B441F"/>
    <w:rsid w:val="1E666AB9"/>
    <w:rsid w:val="1E805C34"/>
    <w:rsid w:val="1E8A260F"/>
    <w:rsid w:val="1E917E41"/>
    <w:rsid w:val="1EA27958"/>
    <w:rsid w:val="1EA41923"/>
    <w:rsid w:val="1EB81009"/>
    <w:rsid w:val="1EBB4EBE"/>
    <w:rsid w:val="1EC41FC5"/>
    <w:rsid w:val="1EC57AEB"/>
    <w:rsid w:val="1EDA5344"/>
    <w:rsid w:val="1EDF0BAD"/>
    <w:rsid w:val="1EE2244B"/>
    <w:rsid w:val="1EF02DBA"/>
    <w:rsid w:val="1EF04B68"/>
    <w:rsid w:val="1EF26B32"/>
    <w:rsid w:val="1EF97FE8"/>
    <w:rsid w:val="1F016D75"/>
    <w:rsid w:val="1F0B19A2"/>
    <w:rsid w:val="1F1F369F"/>
    <w:rsid w:val="1F1F544D"/>
    <w:rsid w:val="1F242A63"/>
    <w:rsid w:val="1F32331D"/>
    <w:rsid w:val="1F3233D2"/>
    <w:rsid w:val="1F340F2B"/>
    <w:rsid w:val="1F3A4035"/>
    <w:rsid w:val="1F486752"/>
    <w:rsid w:val="1F4E51AF"/>
    <w:rsid w:val="1F610C66"/>
    <w:rsid w:val="1F6115C2"/>
    <w:rsid w:val="1F647304"/>
    <w:rsid w:val="1F66307C"/>
    <w:rsid w:val="1F705CA9"/>
    <w:rsid w:val="1F72557D"/>
    <w:rsid w:val="1FA12306"/>
    <w:rsid w:val="1FB44D03"/>
    <w:rsid w:val="1FBF453A"/>
    <w:rsid w:val="1FD224BF"/>
    <w:rsid w:val="1FE3647B"/>
    <w:rsid w:val="200D07E9"/>
    <w:rsid w:val="200F101E"/>
    <w:rsid w:val="202645B9"/>
    <w:rsid w:val="203418BD"/>
    <w:rsid w:val="20371FFC"/>
    <w:rsid w:val="203A2FC9"/>
    <w:rsid w:val="204167F5"/>
    <w:rsid w:val="20503152"/>
    <w:rsid w:val="20613037"/>
    <w:rsid w:val="20672C08"/>
    <w:rsid w:val="206A094A"/>
    <w:rsid w:val="2076109D"/>
    <w:rsid w:val="20770D67"/>
    <w:rsid w:val="207A765B"/>
    <w:rsid w:val="208714FC"/>
    <w:rsid w:val="208F6602"/>
    <w:rsid w:val="209B6D55"/>
    <w:rsid w:val="20A420AE"/>
    <w:rsid w:val="20A43E5C"/>
    <w:rsid w:val="20AC4ABE"/>
    <w:rsid w:val="20B10327"/>
    <w:rsid w:val="20BD316F"/>
    <w:rsid w:val="20C0056A"/>
    <w:rsid w:val="20D65FDF"/>
    <w:rsid w:val="20DB35F6"/>
    <w:rsid w:val="20E63A0D"/>
    <w:rsid w:val="20FB5A46"/>
    <w:rsid w:val="20FC1F14"/>
    <w:rsid w:val="210E20A1"/>
    <w:rsid w:val="21182154"/>
    <w:rsid w:val="211A5ECC"/>
    <w:rsid w:val="211F1734"/>
    <w:rsid w:val="21336F8E"/>
    <w:rsid w:val="213B45E6"/>
    <w:rsid w:val="213C22E6"/>
    <w:rsid w:val="21442F49"/>
    <w:rsid w:val="214E3DC8"/>
    <w:rsid w:val="21573600"/>
    <w:rsid w:val="215F7D83"/>
    <w:rsid w:val="21613AFB"/>
    <w:rsid w:val="2169020D"/>
    <w:rsid w:val="21774099"/>
    <w:rsid w:val="2181419D"/>
    <w:rsid w:val="21815F4B"/>
    <w:rsid w:val="218912A4"/>
    <w:rsid w:val="219F2875"/>
    <w:rsid w:val="21A41C3A"/>
    <w:rsid w:val="21BA145D"/>
    <w:rsid w:val="21C30312"/>
    <w:rsid w:val="21C916A0"/>
    <w:rsid w:val="21D57B15"/>
    <w:rsid w:val="21D7200F"/>
    <w:rsid w:val="21EE1107"/>
    <w:rsid w:val="21F04E7F"/>
    <w:rsid w:val="21F36F04"/>
    <w:rsid w:val="21F726B1"/>
    <w:rsid w:val="21FF50C2"/>
    <w:rsid w:val="22014038"/>
    <w:rsid w:val="221B014E"/>
    <w:rsid w:val="221C3EC6"/>
    <w:rsid w:val="222F1E4B"/>
    <w:rsid w:val="223C6316"/>
    <w:rsid w:val="22407BB4"/>
    <w:rsid w:val="224C47AB"/>
    <w:rsid w:val="22526472"/>
    <w:rsid w:val="22715FC0"/>
    <w:rsid w:val="22721D38"/>
    <w:rsid w:val="227635D6"/>
    <w:rsid w:val="22993768"/>
    <w:rsid w:val="22994CD9"/>
    <w:rsid w:val="229B303C"/>
    <w:rsid w:val="22BD1205"/>
    <w:rsid w:val="22C02AA3"/>
    <w:rsid w:val="22C205C9"/>
    <w:rsid w:val="22C407E5"/>
    <w:rsid w:val="22CA0D58"/>
    <w:rsid w:val="22D62AAF"/>
    <w:rsid w:val="22E02913"/>
    <w:rsid w:val="22E569AE"/>
    <w:rsid w:val="22F015DA"/>
    <w:rsid w:val="22F11D7E"/>
    <w:rsid w:val="22F73A5F"/>
    <w:rsid w:val="22F8048F"/>
    <w:rsid w:val="22FD5AA5"/>
    <w:rsid w:val="23007343"/>
    <w:rsid w:val="230961F8"/>
    <w:rsid w:val="230A01C2"/>
    <w:rsid w:val="231150AD"/>
    <w:rsid w:val="231B417D"/>
    <w:rsid w:val="23256DAA"/>
    <w:rsid w:val="23386ADD"/>
    <w:rsid w:val="23496F3C"/>
    <w:rsid w:val="234B5616"/>
    <w:rsid w:val="234B6811"/>
    <w:rsid w:val="235A4CA6"/>
    <w:rsid w:val="237F295E"/>
    <w:rsid w:val="237F64BA"/>
    <w:rsid w:val="239B0E1A"/>
    <w:rsid w:val="239F090A"/>
    <w:rsid w:val="23A02D45"/>
    <w:rsid w:val="23C6233B"/>
    <w:rsid w:val="23D05BC5"/>
    <w:rsid w:val="23D22045"/>
    <w:rsid w:val="23D22B4E"/>
    <w:rsid w:val="23D305B4"/>
    <w:rsid w:val="23D902C0"/>
    <w:rsid w:val="23DA5DE6"/>
    <w:rsid w:val="23EB3B50"/>
    <w:rsid w:val="23EF1892"/>
    <w:rsid w:val="23F31709"/>
    <w:rsid w:val="23F70746"/>
    <w:rsid w:val="240A1D79"/>
    <w:rsid w:val="242A28CA"/>
    <w:rsid w:val="244871F4"/>
    <w:rsid w:val="244C4D6C"/>
    <w:rsid w:val="246D27B7"/>
    <w:rsid w:val="2492221D"/>
    <w:rsid w:val="249909FC"/>
    <w:rsid w:val="24A501A2"/>
    <w:rsid w:val="24AA57B9"/>
    <w:rsid w:val="24B91EA0"/>
    <w:rsid w:val="24BD674C"/>
    <w:rsid w:val="24C83E91"/>
    <w:rsid w:val="24CD76F9"/>
    <w:rsid w:val="24D46CDA"/>
    <w:rsid w:val="24D51555"/>
    <w:rsid w:val="24D942F0"/>
    <w:rsid w:val="24FD1D8D"/>
    <w:rsid w:val="25072C0B"/>
    <w:rsid w:val="251B0465"/>
    <w:rsid w:val="25344B7B"/>
    <w:rsid w:val="253D03DB"/>
    <w:rsid w:val="25441769"/>
    <w:rsid w:val="25457290"/>
    <w:rsid w:val="254774AC"/>
    <w:rsid w:val="25513C3A"/>
    <w:rsid w:val="257302A1"/>
    <w:rsid w:val="2573204F"/>
    <w:rsid w:val="257556C4"/>
    <w:rsid w:val="258778A8"/>
    <w:rsid w:val="258E0C37"/>
    <w:rsid w:val="25916979"/>
    <w:rsid w:val="25956469"/>
    <w:rsid w:val="25A246E2"/>
    <w:rsid w:val="25AC5561"/>
    <w:rsid w:val="25B14925"/>
    <w:rsid w:val="25BC1C48"/>
    <w:rsid w:val="25D32AED"/>
    <w:rsid w:val="25EE5B79"/>
    <w:rsid w:val="25FA62CC"/>
    <w:rsid w:val="264659B5"/>
    <w:rsid w:val="26492DAF"/>
    <w:rsid w:val="2652435A"/>
    <w:rsid w:val="26655E3B"/>
    <w:rsid w:val="267844CE"/>
    <w:rsid w:val="26881B2A"/>
    <w:rsid w:val="26964247"/>
    <w:rsid w:val="26C03072"/>
    <w:rsid w:val="26CA3EF0"/>
    <w:rsid w:val="26CC5EBA"/>
    <w:rsid w:val="26E256DE"/>
    <w:rsid w:val="26E36D60"/>
    <w:rsid w:val="26EF1BA9"/>
    <w:rsid w:val="26F176CF"/>
    <w:rsid w:val="26F947D6"/>
    <w:rsid w:val="27076EF2"/>
    <w:rsid w:val="27165388"/>
    <w:rsid w:val="27223D2C"/>
    <w:rsid w:val="27351CB2"/>
    <w:rsid w:val="27383550"/>
    <w:rsid w:val="273E043A"/>
    <w:rsid w:val="274274E1"/>
    <w:rsid w:val="275639D6"/>
    <w:rsid w:val="275E243F"/>
    <w:rsid w:val="27634E89"/>
    <w:rsid w:val="27693709"/>
    <w:rsid w:val="27715C8F"/>
    <w:rsid w:val="277F117F"/>
    <w:rsid w:val="27851763"/>
    <w:rsid w:val="27870033"/>
    <w:rsid w:val="27A36081"/>
    <w:rsid w:val="27BB1A8B"/>
    <w:rsid w:val="27BB6190"/>
    <w:rsid w:val="27C272BD"/>
    <w:rsid w:val="27D019DA"/>
    <w:rsid w:val="27EB05C2"/>
    <w:rsid w:val="280E605F"/>
    <w:rsid w:val="28104096"/>
    <w:rsid w:val="2821352A"/>
    <w:rsid w:val="28221B0A"/>
    <w:rsid w:val="282D0BDB"/>
    <w:rsid w:val="2838132E"/>
    <w:rsid w:val="283D2613"/>
    <w:rsid w:val="283D6944"/>
    <w:rsid w:val="28416434"/>
    <w:rsid w:val="284F6DA3"/>
    <w:rsid w:val="28577A06"/>
    <w:rsid w:val="285C7D55"/>
    <w:rsid w:val="28665E9B"/>
    <w:rsid w:val="28792AB8"/>
    <w:rsid w:val="287C3278"/>
    <w:rsid w:val="287C56BE"/>
    <w:rsid w:val="2895052E"/>
    <w:rsid w:val="28C0315A"/>
    <w:rsid w:val="28CA01D8"/>
    <w:rsid w:val="28F96C0D"/>
    <w:rsid w:val="28FC05AD"/>
    <w:rsid w:val="290D27BA"/>
    <w:rsid w:val="29373393"/>
    <w:rsid w:val="2939535D"/>
    <w:rsid w:val="293E4722"/>
    <w:rsid w:val="294B21D3"/>
    <w:rsid w:val="294C5091"/>
    <w:rsid w:val="295403E9"/>
    <w:rsid w:val="29736AC1"/>
    <w:rsid w:val="29810958"/>
    <w:rsid w:val="29934A6D"/>
    <w:rsid w:val="2996455E"/>
    <w:rsid w:val="29A0718A"/>
    <w:rsid w:val="29AE7AF9"/>
    <w:rsid w:val="29B33362"/>
    <w:rsid w:val="29B73240"/>
    <w:rsid w:val="29C54E43"/>
    <w:rsid w:val="29C70BBB"/>
    <w:rsid w:val="29D37560"/>
    <w:rsid w:val="29DF7CB3"/>
    <w:rsid w:val="29E4351B"/>
    <w:rsid w:val="29E90B31"/>
    <w:rsid w:val="29EC0622"/>
    <w:rsid w:val="29F3375E"/>
    <w:rsid w:val="29F424C2"/>
    <w:rsid w:val="2A0B0AA8"/>
    <w:rsid w:val="2A0E2346"/>
    <w:rsid w:val="2A104310"/>
    <w:rsid w:val="2A1D07DB"/>
    <w:rsid w:val="2A2116C0"/>
    <w:rsid w:val="2A2C6C70"/>
    <w:rsid w:val="2A2E0C3A"/>
    <w:rsid w:val="2A36189D"/>
    <w:rsid w:val="2A475072"/>
    <w:rsid w:val="2A483791"/>
    <w:rsid w:val="2A571F3F"/>
    <w:rsid w:val="2A5F0DF4"/>
    <w:rsid w:val="2A84085A"/>
    <w:rsid w:val="2AA92CE2"/>
    <w:rsid w:val="2AAE58D7"/>
    <w:rsid w:val="2ACE34E8"/>
    <w:rsid w:val="2ACF41CB"/>
    <w:rsid w:val="2AD609EF"/>
    <w:rsid w:val="2ADA0F05"/>
    <w:rsid w:val="2AEA2DB3"/>
    <w:rsid w:val="2AFE060C"/>
    <w:rsid w:val="2B23227F"/>
    <w:rsid w:val="2B2C33CC"/>
    <w:rsid w:val="2B406E77"/>
    <w:rsid w:val="2B42499D"/>
    <w:rsid w:val="2B45623B"/>
    <w:rsid w:val="2B465B0F"/>
    <w:rsid w:val="2B63743D"/>
    <w:rsid w:val="2B6B6686"/>
    <w:rsid w:val="2B764647"/>
    <w:rsid w:val="2B8A6344"/>
    <w:rsid w:val="2B8D373E"/>
    <w:rsid w:val="2BB05DAB"/>
    <w:rsid w:val="2BB32C15"/>
    <w:rsid w:val="2BC03B14"/>
    <w:rsid w:val="2BC929C8"/>
    <w:rsid w:val="2C2916B9"/>
    <w:rsid w:val="2C2C73FB"/>
    <w:rsid w:val="2C3F0EDD"/>
    <w:rsid w:val="2C3F4DF0"/>
    <w:rsid w:val="2C474942"/>
    <w:rsid w:val="2C7F2643"/>
    <w:rsid w:val="2C972AC7"/>
    <w:rsid w:val="2CA369A4"/>
    <w:rsid w:val="2CB76CC5"/>
    <w:rsid w:val="2CD5539D"/>
    <w:rsid w:val="2CE455E0"/>
    <w:rsid w:val="2CEF46B1"/>
    <w:rsid w:val="2CF41CC7"/>
    <w:rsid w:val="2D1442BC"/>
    <w:rsid w:val="2D281971"/>
    <w:rsid w:val="2D287BC3"/>
    <w:rsid w:val="2D451725"/>
    <w:rsid w:val="2D4D7629"/>
    <w:rsid w:val="2D662499"/>
    <w:rsid w:val="2D746964"/>
    <w:rsid w:val="2D8017AD"/>
    <w:rsid w:val="2D856DC3"/>
    <w:rsid w:val="2DA57034"/>
    <w:rsid w:val="2DAA3A0D"/>
    <w:rsid w:val="2DB31B82"/>
    <w:rsid w:val="2DBB27E5"/>
    <w:rsid w:val="2DC23B73"/>
    <w:rsid w:val="2DD83397"/>
    <w:rsid w:val="2DDB69E3"/>
    <w:rsid w:val="2DDB740F"/>
    <w:rsid w:val="2DE912B6"/>
    <w:rsid w:val="2DEC6288"/>
    <w:rsid w:val="2DF47AA5"/>
    <w:rsid w:val="2E00644A"/>
    <w:rsid w:val="2E1B14D5"/>
    <w:rsid w:val="2E2B18DE"/>
    <w:rsid w:val="2E2E2FB7"/>
    <w:rsid w:val="2E2F6D2F"/>
    <w:rsid w:val="2E352597"/>
    <w:rsid w:val="2E434D8B"/>
    <w:rsid w:val="2E4B3B69"/>
    <w:rsid w:val="2E505623"/>
    <w:rsid w:val="2E56075F"/>
    <w:rsid w:val="2E5F7614"/>
    <w:rsid w:val="2E6B5FB9"/>
    <w:rsid w:val="2E6E3CFB"/>
    <w:rsid w:val="2E7035CF"/>
    <w:rsid w:val="2E823302"/>
    <w:rsid w:val="2E84707B"/>
    <w:rsid w:val="2E975000"/>
    <w:rsid w:val="2E9B3480"/>
    <w:rsid w:val="2EAD65D1"/>
    <w:rsid w:val="2EBC4A66"/>
    <w:rsid w:val="2EC67693"/>
    <w:rsid w:val="2ED26038"/>
    <w:rsid w:val="2EDD678B"/>
    <w:rsid w:val="2EEA070E"/>
    <w:rsid w:val="2EEF6BEA"/>
    <w:rsid w:val="2EF20488"/>
    <w:rsid w:val="2F2D326E"/>
    <w:rsid w:val="2F4B7B98"/>
    <w:rsid w:val="2F603644"/>
    <w:rsid w:val="2F632AFC"/>
    <w:rsid w:val="2F6F7D9F"/>
    <w:rsid w:val="2F762E67"/>
    <w:rsid w:val="2F77098D"/>
    <w:rsid w:val="2F8C268B"/>
    <w:rsid w:val="2F990904"/>
    <w:rsid w:val="2FC040E2"/>
    <w:rsid w:val="2FD8767E"/>
    <w:rsid w:val="30030473"/>
    <w:rsid w:val="300761B5"/>
    <w:rsid w:val="30077F63"/>
    <w:rsid w:val="3014442E"/>
    <w:rsid w:val="301461DC"/>
    <w:rsid w:val="301B756B"/>
    <w:rsid w:val="302428C3"/>
    <w:rsid w:val="302A1EA4"/>
    <w:rsid w:val="302C1778"/>
    <w:rsid w:val="3035777F"/>
    <w:rsid w:val="303625F7"/>
    <w:rsid w:val="30403DE0"/>
    <w:rsid w:val="304271ED"/>
    <w:rsid w:val="304C3BC8"/>
    <w:rsid w:val="30676C54"/>
    <w:rsid w:val="308570DA"/>
    <w:rsid w:val="309F019C"/>
    <w:rsid w:val="30C05CFD"/>
    <w:rsid w:val="30F304E8"/>
    <w:rsid w:val="30F67859"/>
    <w:rsid w:val="312A519C"/>
    <w:rsid w:val="312D39F9"/>
    <w:rsid w:val="31327262"/>
    <w:rsid w:val="31464ABB"/>
    <w:rsid w:val="31796C3F"/>
    <w:rsid w:val="317F1D7B"/>
    <w:rsid w:val="318F1FBE"/>
    <w:rsid w:val="319677F1"/>
    <w:rsid w:val="31AF3DC9"/>
    <w:rsid w:val="31B9528D"/>
    <w:rsid w:val="31CA56EC"/>
    <w:rsid w:val="31D13FE7"/>
    <w:rsid w:val="31D75713"/>
    <w:rsid w:val="31DB16A7"/>
    <w:rsid w:val="31EC5663"/>
    <w:rsid w:val="31F167D5"/>
    <w:rsid w:val="31F462C5"/>
    <w:rsid w:val="31F938DC"/>
    <w:rsid w:val="3207249C"/>
    <w:rsid w:val="32146967"/>
    <w:rsid w:val="32236BAB"/>
    <w:rsid w:val="322C5A5F"/>
    <w:rsid w:val="322F37A1"/>
    <w:rsid w:val="32566F80"/>
    <w:rsid w:val="32785148"/>
    <w:rsid w:val="32794A1C"/>
    <w:rsid w:val="32821B23"/>
    <w:rsid w:val="328A407A"/>
    <w:rsid w:val="328D6818"/>
    <w:rsid w:val="3296737C"/>
    <w:rsid w:val="329A50BF"/>
    <w:rsid w:val="329B0E37"/>
    <w:rsid w:val="32A23F73"/>
    <w:rsid w:val="32BF4585"/>
    <w:rsid w:val="32D3237F"/>
    <w:rsid w:val="32DF0D23"/>
    <w:rsid w:val="32EE71B8"/>
    <w:rsid w:val="32F05BAA"/>
    <w:rsid w:val="32F90340"/>
    <w:rsid w:val="33022C64"/>
    <w:rsid w:val="3304078A"/>
    <w:rsid w:val="33154745"/>
    <w:rsid w:val="3317670F"/>
    <w:rsid w:val="33305A23"/>
    <w:rsid w:val="33323549"/>
    <w:rsid w:val="333D3C9C"/>
    <w:rsid w:val="335334BF"/>
    <w:rsid w:val="335A30EE"/>
    <w:rsid w:val="335C42DD"/>
    <w:rsid w:val="336B25B7"/>
    <w:rsid w:val="336F02F9"/>
    <w:rsid w:val="33792F26"/>
    <w:rsid w:val="33802506"/>
    <w:rsid w:val="33941B0E"/>
    <w:rsid w:val="339C7798"/>
    <w:rsid w:val="33A04957"/>
    <w:rsid w:val="33B45D0C"/>
    <w:rsid w:val="33BB398D"/>
    <w:rsid w:val="33DA14EB"/>
    <w:rsid w:val="33DE08FD"/>
    <w:rsid w:val="33F86541"/>
    <w:rsid w:val="33F94067"/>
    <w:rsid w:val="33FB393B"/>
    <w:rsid w:val="33FF04C6"/>
    <w:rsid w:val="34012F1B"/>
    <w:rsid w:val="34086058"/>
    <w:rsid w:val="340C6BFC"/>
    <w:rsid w:val="341113B0"/>
    <w:rsid w:val="342D3D10"/>
    <w:rsid w:val="3434509F"/>
    <w:rsid w:val="343D03F7"/>
    <w:rsid w:val="34452E08"/>
    <w:rsid w:val="346A0AC1"/>
    <w:rsid w:val="347D07F4"/>
    <w:rsid w:val="347E456C"/>
    <w:rsid w:val="34847F18"/>
    <w:rsid w:val="348576A9"/>
    <w:rsid w:val="3488219A"/>
    <w:rsid w:val="348E2A01"/>
    <w:rsid w:val="3491604D"/>
    <w:rsid w:val="34A12946"/>
    <w:rsid w:val="34B8182C"/>
    <w:rsid w:val="34C12DD7"/>
    <w:rsid w:val="34C77CC1"/>
    <w:rsid w:val="34D04DC8"/>
    <w:rsid w:val="34DB15D1"/>
    <w:rsid w:val="34DD1293"/>
    <w:rsid w:val="34F56950"/>
    <w:rsid w:val="34FB5BBD"/>
    <w:rsid w:val="35213875"/>
    <w:rsid w:val="352D370E"/>
    <w:rsid w:val="353115DE"/>
    <w:rsid w:val="353953B3"/>
    <w:rsid w:val="353C420B"/>
    <w:rsid w:val="35494B7A"/>
    <w:rsid w:val="35507CB7"/>
    <w:rsid w:val="3558300F"/>
    <w:rsid w:val="355C48AD"/>
    <w:rsid w:val="35611EC4"/>
    <w:rsid w:val="35753BC1"/>
    <w:rsid w:val="3578720D"/>
    <w:rsid w:val="358023BD"/>
    <w:rsid w:val="35887450"/>
    <w:rsid w:val="3595385E"/>
    <w:rsid w:val="35C67F79"/>
    <w:rsid w:val="35D94150"/>
    <w:rsid w:val="35E11256"/>
    <w:rsid w:val="35EF77CD"/>
    <w:rsid w:val="35F61E8F"/>
    <w:rsid w:val="36201D7F"/>
    <w:rsid w:val="36203B2D"/>
    <w:rsid w:val="36237179"/>
    <w:rsid w:val="3632560E"/>
    <w:rsid w:val="36332890"/>
    <w:rsid w:val="3637097E"/>
    <w:rsid w:val="365732C7"/>
    <w:rsid w:val="365A72F8"/>
    <w:rsid w:val="365D6127"/>
    <w:rsid w:val="36603C3A"/>
    <w:rsid w:val="36635E01"/>
    <w:rsid w:val="36730100"/>
    <w:rsid w:val="367313A3"/>
    <w:rsid w:val="36860CFA"/>
    <w:rsid w:val="36877708"/>
    <w:rsid w:val="36962041"/>
    <w:rsid w:val="369B31B3"/>
    <w:rsid w:val="36AA33F6"/>
    <w:rsid w:val="36BB5A02"/>
    <w:rsid w:val="36C24BE4"/>
    <w:rsid w:val="36DD37CC"/>
    <w:rsid w:val="36F34D9D"/>
    <w:rsid w:val="3700570C"/>
    <w:rsid w:val="370C5E5F"/>
    <w:rsid w:val="37103BA1"/>
    <w:rsid w:val="37117919"/>
    <w:rsid w:val="37152F66"/>
    <w:rsid w:val="3715740A"/>
    <w:rsid w:val="371A4542"/>
    <w:rsid w:val="37207915"/>
    <w:rsid w:val="37225683"/>
    <w:rsid w:val="37410AC9"/>
    <w:rsid w:val="3748158D"/>
    <w:rsid w:val="37503F9E"/>
    <w:rsid w:val="37537F32"/>
    <w:rsid w:val="376637C1"/>
    <w:rsid w:val="377203B8"/>
    <w:rsid w:val="3774310E"/>
    <w:rsid w:val="37906A90"/>
    <w:rsid w:val="37D83F93"/>
    <w:rsid w:val="37DF17C6"/>
    <w:rsid w:val="37EB3CC7"/>
    <w:rsid w:val="37FA03AE"/>
    <w:rsid w:val="37FA215C"/>
    <w:rsid w:val="37FE1C4C"/>
    <w:rsid w:val="3801798E"/>
    <w:rsid w:val="38080D1C"/>
    <w:rsid w:val="38353194"/>
    <w:rsid w:val="384A4E91"/>
    <w:rsid w:val="384D61DC"/>
    <w:rsid w:val="384E32D5"/>
    <w:rsid w:val="38591578"/>
    <w:rsid w:val="38593326"/>
    <w:rsid w:val="385E093C"/>
    <w:rsid w:val="386622AE"/>
    <w:rsid w:val="386677F1"/>
    <w:rsid w:val="386F66A6"/>
    <w:rsid w:val="38726196"/>
    <w:rsid w:val="38767A34"/>
    <w:rsid w:val="38883C0B"/>
    <w:rsid w:val="38997BC6"/>
    <w:rsid w:val="38BE13DB"/>
    <w:rsid w:val="38BF587F"/>
    <w:rsid w:val="38D01754"/>
    <w:rsid w:val="38D40BFF"/>
    <w:rsid w:val="38D46E50"/>
    <w:rsid w:val="38DE1A7D"/>
    <w:rsid w:val="38F113CD"/>
    <w:rsid w:val="38F17A02"/>
    <w:rsid w:val="38F65019"/>
    <w:rsid w:val="38F92413"/>
    <w:rsid w:val="390E5EBF"/>
    <w:rsid w:val="391334D5"/>
    <w:rsid w:val="39147D25"/>
    <w:rsid w:val="39333B77"/>
    <w:rsid w:val="394418E0"/>
    <w:rsid w:val="39534219"/>
    <w:rsid w:val="3975605E"/>
    <w:rsid w:val="397B3223"/>
    <w:rsid w:val="39A71E6F"/>
    <w:rsid w:val="39AF6A2B"/>
    <w:rsid w:val="39B34CB8"/>
    <w:rsid w:val="39BA4298"/>
    <w:rsid w:val="39BC591B"/>
    <w:rsid w:val="39C62C3D"/>
    <w:rsid w:val="39C80763"/>
    <w:rsid w:val="39C96289"/>
    <w:rsid w:val="39CE38A0"/>
    <w:rsid w:val="39E62997"/>
    <w:rsid w:val="3A137505"/>
    <w:rsid w:val="3A267238"/>
    <w:rsid w:val="3A322081"/>
    <w:rsid w:val="3A4A125D"/>
    <w:rsid w:val="3A5C534F"/>
    <w:rsid w:val="3A751F6D"/>
    <w:rsid w:val="3A7C154E"/>
    <w:rsid w:val="3A853BDF"/>
    <w:rsid w:val="3A8D375B"/>
    <w:rsid w:val="3A8D72B7"/>
    <w:rsid w:val="3A916E80"/>
    <w:rsid w:val="3AA20FB4"/>
    <w:rsid w:val="3AAA7E69"/>
    <w:rsid w:val="3AEE244B"/>
    <w:rsid w:val="3AEF7F72"/>
    <w:rsid w:val="3AF410E4"/>
    <w:rsid w:val="3AFB06C4"/>
    <w:rsid w:val="3B003F2D"/>
    <w:rsid w:val="3B0532F1"/>
    <w:rsid w:val="3B084AF6"/>
    <w:rsid w:val="3B0A4DAB"/>
    <w:rsid w:val="3B1271E0"/>
    <w:rsid w:val="3B181276"/>
    <w:rsid w:val="3B1A3241"/>
    <w:rsid w:val="3B1E43B3"/>
    <w:rsid w:val="3B3140E6"/>
    <w:rsid w:val="3B3A743F"/>
    <w:rsid w:val="3B491430"/>
    <w:rsid w:val="3B5344E9"/>
    <w:rsid w:val="3B567FF1"/>
    <w:rsid w:val="3B6444BC"/>
    <w:rsid w:val="3B6E70E8"/>
    <w:rsid w:val="3B8E4CB0"/>
    <w:rsid w:val="3B903503"/>
    <w:rsid w:val="3B9823B7"/>
    <w:rsid w:val="3BA26D92"/>
    <w:rsid w:val="3BAE5737"/>
    <w:rsid w:val="3BB30F9F"/>
    <w:rsid w:val="3BC35686"/>
    <w:rsid w:val="3BC46D08"/>
    <w:rsid w:val="3BC74A4B"/>
    <w:rsid w:val="3BC96A15"/>
    <w:rsid w:val="3BE63123"/>
    <w:rsid w:val="3BF35840"/>
    <w:rsid w:val="3BF71E3B"/>
    <w:rsid w:val="3C0637C5"/>
    <w:rsid w:val="3C1001A0"/>
    <w:rsid w:val="3C125CC6"/>
    <w:rsid w:val="3C3C71E7"/>
    <w:rsid w:val="3C4340D1"/>
    <w:rsid w:val="3C5E53AF"/>
    <w:rsid w:val="3C6127A9"/>
    <w:rsid w:val="3C7050E2"/>
    <w:rsid w:val="3C7C75E3"/>
    <w:rsid w:val="3C7E77FF"/>
    <w:rsid w:val="3CAB1C76"/>
    <w:rsid w:val="3CAB7EC8"/>
    <w:rsid w:val="3CAF79B9"/>
    <w:rsid w:val="3CB43221"/>
    <w:rsid w:val="3CCB40C7"/>
    <w:rsid w:val="3CF4186F"/>
    <w:rsid w:val="3CF7310E"/>
    <w:rsid w:val="3D0715A3"/>
    <w:rsid w:val="3D2A34E3"/>
    <w:rsid w:val="3D2C1009"/>
    <w:rsid w:val="3D3178F2"/>
    <w:rsid w:val="3D567E34"/>
    <w:rsid w:val="3D586CAA"/>
    <w:rsid w:val="3D624A2B"/>
    <w:rsid w:val="3D6F0EF6"/>
    <w:rsid w:val="3D711112"/>
    <w:rsid w:val="3D9646D4"/>
    <w:rsid w:val="3D9848F1"/>
    <w:rsid w:val="3DA23079"/>
    <w:rsid w:val="3DA27781"/>
    <w:rsid w:val="3DA768E2"/>
    <w:rsid w:val="3DB80AEF"/>
    <w:rsid w:val="3DF902CA"/>
    <w:rsid w:val="3DFF227A"/>
    <w:rsid w:val="3E09759C"/>
    <w:rsid w:val="3E0C2BE9"/>
    <w:rsid w:val="3E1677F2"/>
    <w:rsid w:val="3E2148E6"/>
    <w:rsid w:val="3E2972AF"/>
    <w:rsid w:val="3E2D5039"/>
    <w:rsid w:val="3E375EB7"/>
    <w:rsid w:val="3E415447"/>
    <w:rsid w:val="3E497999"/>
    <w:rsid w:val="3E5720B6"/>
    <w:rsid w:val="3E6B790F"/>
    <w:rsid w:val="3E6F35DF"/>
    <w:rsid w:val="3E764C5A"/>
    <w:rsid w:val="3E7E5894"/>
    <w:rsid w:val="3E863D64"/>
    <w:rsid w:val="3E9230EE"/>
    <w:rsid w:val="3EA5387D"/>
    <w:rsid w:val="3EA64DEB"/>
    <w:rsid w:val="3EAB41B0"/>
    <w:rsid w:val="3EC773AA"/>
    <w:rsid w:val="3ECA0ADA"/>
    <w:rsid w:val="3EDE4585"/>
    <w:rsid w:val="3EE37DED"/>
    <w:rsid w:val="3EE55913"/>
    <w:rsid w:val="3EED6576"/>
    <w:rsid w:val="3EF26282"/>
    <w:rsid w:val="3F035D9A"/>
    <w:rsid w:val="3F1104B7"/>
    <w:rsid w:val="3F163D1F"/>
    <w:rsid w:val="3F1F47BD"/>
    <w:rsid w:val="3F2521B4"/>
    <w:rsid w:val="3F2C004B"/>
    <w:rsid w:val="3F3643C1"/>
    <w:rsid w:val="3F36616F"/>
    <w:rsid w:val="3F400D9C"/>
    <w:rsid w:val="3F4304D9"/>
    <w:rsid w:val="3F450160"/>
    <w:rsid w:val="3F454604"/>
    <w:rsid w:val="3F4C53E6"/>
    <w:rsid w:val="3F4C624D"/>
    <w:rsid w:val="3F4F0FDF"/>
    <w:rsid w:val="3F593C0C"/>
    <w:rsid w:val="3F626F64"/>
    <w:rsid w:val="3F6726ED"/>
    <w:rsid w:val="3F681962"/>
    <w:rsid w:val="3F696545"/>
    <w:rsid w:val="3F7153F9"/>
    <w:rsid w:val="3FB83028"/>
    <w:rsid w:val="3FE1257F"/>
    <w:rsid w:val="3FE55380"/>
    <w:rsid w:val="3FEA600F"/>
    <w:rsid w:val="3FEC4A80"/>
    <w:rsid w:val="3FEE07F8"/>
    <w:rsid w:val="3FFD80A8"/>
    <w:rsid w:val="3FFF2A05"/>
    <w:rsid w:val="4024421A"/>
    <w:rsid w:val="403D2262"/>
    <w:rsid w:val="403E177F"/>
    <w:rsid w:val="40532493"/>
    <w:rsid w:val="40610FCA"/>
    <w:rsid w:val="40784565"/>
    <w:rsid w:val="407F6C67"/>
    <w:rsid w:val="408B290C"/>
    <w:rsid w:val="40A13ABC"/>
    <w:rsid w:val="40B3559D"/>
    <w:rsid w:val="40B41A41"/>
    <w:rsid w:val="40C1415E"/>
    <w:rsid w:val="40CB6D8B"/>
    <w:rsid w:val="40DE086C"/>
    <w:rsid w:val="40E816EB"/>
    <w:rsid w:val="40FB141E"/>
    <w:rsid w:val="4105229D"/>
    <w:rsid w:val="410C362B"/>
    <w:rsid w:val="410D2F00"/>
    <w:rsid w:val="411424E0"/>
    <w:rsid w:val="411B386E"/>
    <w:rsid w:val="412301ED"/>
    <w:rsid w:val="41246142"/>
    <w:rsid w:val="412C782A"/>
    <w:rsid w:val="412F731A"/>
    <w:rsid w:val="41412BA9"/>
    <w:rsid w:val="41650F8E"/>
    <w:rsid w:val="416A0352"/>
    <w:rsid w:val="41801923"/>
    <w:rsid w:val="41A03D74"/>
    <w:rsid w:val="41BE244C"/>
    <w:rsid w:val="41C21F3C"/>
    <w:rsid w:val="41CE6B33"/>
    <w:rsid w:val="41EC6FB9"/>
    <w:rsid w:val="41FF4F3E"/>
    <w:rsid w:val="42213106"/>
    <w:rsid w:val="42274495"/>
    <w:rsid w:val="42295B17"/>
    <w:rsid w:val="422A188F"/>
    <w:rsid w:val="422C3859"/>
    <w:rsid w:val="422C43EB"/>
    <w:rsid w:val="422C5607"/>
    <w:rsid w:val="423942D0"/>
    <w:rsid w:val="423A41C8"/>
    <w:rsid w:val="42530DE6"/>
    <w:rsid w:val="426052B1"/>
    <w:rsid w:val="426923B8"/>
    <w:rsid w:val="427C0E32"/>
    <w:rsid w:val="427D40B5"/>
    <w:rsid w:val="42A813B5"/>
    <w:rsid w:val="42AF0237"/>
    <w:rsid w:val="42B775C7"/>
    <w:rsid w:val="42D068DB"/>
    <w:rsid w:val="42F56341"/>
    <w:rsid w:val="42F779C3"/>
    <w:rsid w:val="42FA74B4"/>
    <w:rsid w:val="42FE51F6"/>
    <w:rsid w:val="43083E39"/>
    <w:rsid w:val="430B7913"/>
    <w:rsid w:val="430E4BB9"/>
    <w:rsid w:val="43106CD7"/>
    <w:rsid w:val="431466D8"/>
    <w:rsid w:val="431467C7"/>
    <w:rsid w:val="43217136"/>
    <w:rsid w:val="4340580E"/>
    <w:rsid w:val="43456981"/>
    <w:rsid w:val="436F03DA"/>
    <w:rsid w:val="437454B8"/>
    <w:rsid w:val="437FD796"/>
    <w:rsid w:val="43851473"/>
    <w:rsid w:val="43853772"/>
    <w:rsid w:val="439D0A88"/>
    <w:rsid w:val="439D67BD"/>
    <w:rsid w:val="439E42E3"/>
    <w:rsid w:val="43A0122C"/>
    <w:rsid w:val="43A51B15"/>
    <w:rsid w:val="43B12268"/>
    <w:rsid w:val="43B21B3C"/>
    <w:rsid w:val="43B34232"/>
    <w:rsid w:val="43C13C19"/>
    <w:rsid w:val="43CD6976"/>
    <w:rsid w:val="43D4641B"/>
    <w:rsid w:val="43DD12AF"/>
    <w:rsid w:val="43EF4B3E"/>
    <w:rsid w:val="43FB7987"/>
    <w:rsid w:val="44044A8E"/>
    <w:rsid w:val="440E3217"/>
    <w:rsid w:val="4427531C"/>
    <w:rsid w:val="442B201A"/>
    <w:rsid w:val="44416AB6"/>
    <w:rsid w:val="4447497A"/>
    <w:rsid w:val="445C6678"/>
    <w:rsid w:val="44641089"/>
    <w:rsid w:val="44685561"/>
    <w:rsid w:val="4469669F"/>
    <w:rsid w:val="446E16BE"/>
    <w:rsid w:val="447A08AC"/>
    <w:rsid w:val="448434D9"/>
    <w:rsid w:val="448B4867"/>
    <w:rsid w:val="44962657"/>
    <w:rsid w:val="44963B82"/>
    <w:rsid w:val="44BC0EC5"/>
    <w:rsid w:val="44BD3A19"/>
    <w:rsid w:val="44C05764"/>
    <w:rsid w:val="44CD1324"/>
    <w:rsid w:val="44DA134B"/>
    <w:rsid w:val="44EE129A"/>
    <w:rsid w:val="44EF6BA2"/>
    <w:rsid w:val="44FC39B7"/>
    <w:rsid w:val="44FF7EF8"/>
    <w:rsid w:val="45037D55"/>
    <w:rsid w:val="45140D01"/>
    <w:rsid w:val="451E2E08"/>
    <w:rsid w:val="45221F1D"/>
    <w:rsid w:val="452847AC"/>
    <w:rsid w:val="45392515"/>
    <w:rsid w:val="456357E4"/>
    <w:rsid w:val="456B4699"/>
    <w:rsid w:val="45833790"/>
    <w:rsid w:val="458B6AE9"/>
    <w:rsid w:val="458C10B9"/>
    <w:rsid w:val="45AC0F39"/>
    <w:rsid w:val="45B147A1"/>
    <w:rsid w:val="45BE0C6C"/>
    <w:rsid w:val="45CF4C28"/>
    <w:rsid w:val="45E5269D"/>
    <w:rsid w:val="45E561F9"/>
    <w:rsid w:val="45EC57D9"/>
    <w:rsid w:val="45EF7078"/>
    <w:rsid w:val="45F12DF0"/>
    <w:rsid w:val="45F44CA7"/>
    <w:rsid w:val="45FE72BB"/>
    <w:rsid w:val="46081EE8"/>
    <w:rsid w:val="460B3453"/>
    <w:rsid w:val="461557FF"/>
    <w:rsid w:val="46164604"/>
    <w:rsid w:val="461E53A0"/>
    <w:rsid w:val="463A37C2"/>
    <w:rsid w:val="46431172"/>
    <w:rsid w:val="465D2233"/>
    <w:rsid w:val="465F41FD"/>
    <w:rsid w:val="46625A9C"/>
    <w:rsid w:val="46696E2A"/>
    <w:rsid w:val="466B2BA2"/>
    <w:rsid w:val="4679477B"/>
    <w:rsid w:val="46827EEC"/>
    <w:rsid w:val="469519CD"/>
    <w:rsid w:val="46965745"/>
    <w:rsid w:val="46A2058E"/>
    <w:rsid w:val="46B207D1"/>
    <w:rsid w:val="46C73D8B"/>
    <w:rsid w:val="46EB783F"/>
    <w:rsid w:val="46ED1809"/>
    <w:rsid w:val="46EE4FD8"/>
    <w:rsid w:val="46F030A7"/>
    <w:rsid w:val="46FE3A16"/>
    <w:rsid w:val="46FF046F"/>
    <w:rsid w:val="47134FE8"/>
    <w:rsid w:val="471E7C15"/>
    <w:rsid w:val="47280A93"/>
    <w:rsid w:val="47413903"/>
    <w:rsid w:val="474433F3"/>
    <w:rsid w:val="474D04FA"/>
    <w:rsid w:val="474D73AC"/>
    <w:rsid w:val="47523D62"/>
    <w:rsid w:val="47571378"/>
    <w:rsid w:val="47573126"/>
    <w:rsid w:val="475950F1"/>
    <w:rsid w:val="475E52BA"/>
    <w:rsid w:val="476F0470"/>
    <w:rsid w:val="47835CCA"/>
    <w:rsid w:val="47911A05"/>
    <w:rsid w:val="4791488A"/>
    <w:rsid w:val="479779C7"/>
    <w:rsid w:val="47AC3472"/>
    <w:rsid w:val="47B9793D"/>
    <w:rsid w:val="47C14A44"/>
    <w:rsid w:val="47C50090"/>
    <w:rsid w:val="47D41AC3"/>
    <w:rsid w:val="47DB5B06"/>
    <w:rsid w:val="47E151EE"/>
    <w:rsid w:val="47F460ED"/>
    <w:rsid w:val="481334F1"/>
    <w:rsid w:val="48401E0D"/>
    <w:rsid w:val="484D62D8"/>
    <w:rsid w:val="484E4529"/>
    <w:rsid w:val="48592ECE"/>
    <w:rsid w:val="48627829"/>
    <w:rsid w:val="48645AFB"/>
    <w:rsid w:val="489363E0"/>
    <w:rsid w:val="48A405ED"/>
    <w:rsid w:val="48E24C72"/>
    <w:rsid w:val="48E54030"/>
    <w:rsid w:val="48F0738F"/>
    <w:rsid w:val="48FF3FE4"/>
    <w:rsid w:val="490A2087"/>
    <w:rsid w:val="490A2CD5"/>
    <w:rsid w:val="490C1CEF"/>
    <w:rsid w:val="490E1F0B"/>
    <w:rsid w:val="491F5EC6"/>
    <w:rsid w:val="49381C9E"/>
    <w:rsid w:val="493D00FA"/>
    <w:rsid w:val="494254CB"/>
    <w:rsid w:val="494E2307"/>
    <w:rsid w:val="49523BA5"/>
    <w:rsid w:val="495C67D2"/>
    <w:rsid w:val="496B4C67"/>
    <w:rsid w:val="49725FF6"/>
    <w:rsid w:val="497E0E3E"/>
    <w:rsid w:val="499046CE"/>
    <w:rsid w:val="49942410"/>
    <w:rsid w:val="49951CE4"/>
    <w:rsid w:val="49956188"/>
    <w:rsid w:val="49A34B2A"/>
    <w:rsid w:val="49A447E0"/>
    <w:rsid w:val="49AB775A"/>
    <w:rsid w:val="49B74C74"/>
    <w:rsid w:val="49B900C8"/>
    <w:rsid w:val="49BE56DF"/>
    <w:rsid w:val="49C425C9"/>
    <w:rsid w:val="49C600F0"/>
    <w:rsid w:val="49CF169A"/>
    <w:rsid w:val="49D40A5E"/>
    <w:rsid w:val="49D7054F"/>
    <w:rsid w:val="49E1317B"/>
    <w:rsid w:val="49E80AF9"/>
    <w:rsid w:val="49F25388"/>
    <w:rsid w:val="49F62732"/>
    <w:rsid w:val="4A02381D"/>
    <w:rsid w:val="4A192915"/>
    <w:rsid w:val="4A1936D4"/>
    <w:rsid w:val="4A1D0657"/>
    <w:rsid w:val="4A213088"/>
    <w:rsid w:val="4A2A2D74"/>
    <w:rsid w:val="4A2F3EE7"/>
    <w:rsid w:val="4A3D2AA8"/>
    <w:rsid w:val="4A4060F4"/>
    <w:rsid w:val="4A431740"/>
    <w:rsid w:val="4A4A0D21"/>
    <w:rsid w:val="4A5B1180"/>
    <w:rsid w:val="4A5D4EF8"/>
    <w:rsid w:val="4A673681"/>
    <w:rsid w:val="4A6E0EB3"/>
    <w:rsid w:val="4A821143"/>
    <w:rsid w:val="4A8C30E7"/>
    <w:rsid w:val="4AA03036"/>
    <w:rsid w:val="4AA04DE4"/>
    <w:rsid w:val="4AAF5028"/>
    <w:rsid w:val="4AC07235"/>
    <w:rsid w:val="4AE20F59"/>
    <w:rsid w:val="4AE2447F"/>
    <w:rsid w:val="4AE253FD"/>
    <w:rsid w:val="4AE747C1"/>
    <w:rsid w:val="4AFF1B0B"/>
    <w:rsid w:val="4B06733D"/>
    <w:rsid w:val="4B0E61F2"/>
    <w:rsid w:val="4B125CE2"/>
    <w:rsid w:val="4B257098"/>
    <w:rsid w:val="4B2E08EC"/>
    <w:rsid w:val="4B3650A3"/>
    <w:rsid w:val="4B562117"/>
    <w:rsid w:val="4B5A1630"/>
    <w:rsid w:val="4B5E0F27"/>
    <w:rsid w:val="4B664CC5"/>
    <w:rsid w:val="4B7047B7"/>
    <w:rsid w:val="4B8A1D1C"/>
    <w:rsid w:val="4B9304A5"/>
    <w:rsid w:val="4BAF1783"/>
    <w:rsid w:val="4BC6087B"/>
    <w:rsid w:val="4BD016F9"/>
    <w:rsid w:val="4BDB17F8"/>
    <w:rsid w:val="4BEB02E1"/>
    <w:rsid w:val="4BF21670"/>
    <w:rsid w:val="4BF24EAD"/>
    <w:rsid w:val="4C0575F5"/>
    <w:rsid w:val="4C0D2006"/>
    <w:rsid w:val="4C327CBE"/>
    <w:rsid w:val="4C4023DB"/>
    <w:rsid w:val="4C43011D"/>
    <w:rsid w:val="4C5D5D21"/>
    <w:rsid w:val="4C72630D"/>
    <w:rsid w:val="4C7E4CB1"/>
    <w:rsid w:val="4C800A2A"/>
    <w:rsid w:val="4C8147A2"/>
    <w:rsid w:val="4C8449BE"/>
    <w:rsid w:val="4C9F3506"/>
    <w:rsid w:val="4CAA1F4A"/>
    <w:rsid w:val="4CC052CA"/>
    <w:rsid w:val="4D007DBC"/>
    <w:rsid w:val="4D1F0243"/>
    <w:rsid w:val="4D396712"/>
    <w:rsid w:val="4D3A1520"/>
    <w:rsid w:val="4D3A32CE"/>
    <w:rsid w:val="4D3B2BA3"/>
    <w:rsid w:val="4D433D09"/>
    <w:rsid w:val="4D5679DC"/>
    <w:rsid w:val="4D573E80"/>
    <w:rsid w:val="4D5C1497"/>
    <w:rsid w:val="4D5C4BCB"/>
    <w:rsid w:val="4D7762D0"/>
    <w:rsid w:val="4D812CAB"/>
    <w:rsid w:val="4D814A59"/>
    <w:rsid w:val="4D93478D"/>
    <w:rsid w:val="4D9A1FBF"/>
    <w:rsid w:val="4DAB7D28"/>
    <w:rsid w:val="4DAD1CF2"/>
    <w:rsid w:val="4DAD6CEB"/>
    <w:rsid w:val="4DB20E54"/>
    <w:rsid w:val="4DB22B44"/>
    <w:rsid w:val="4DB50BA7"/>
    <w:rsid w:val="4DB766CD"/>
    <w:rsid w:val="4DBD4BED"/>
    <w:rsid w:val="4DD252B5"/>
    <w:rsid w:val="4DDF79D2"/>
    <w:rsid w:val="4DF74D1B"/>
    <w:rsid w:val="4DFD3FA5"/>
    <w:rsid w:val="4E0B4C6B"/>
    <w:rsid w:val="4E1B3100"/>
    <w:rsid w:val="4E1B4E0F"/>
    <w:rsid w:val="4E22729D"/>
    <w:rsid w:val="4E2D7202"/>
    <w:rsid w:val="4E3E497D"/>
    <w:rsid w:val="4E4D16BF"/>
    <w:rsid w:val="4E577EB0"/>
    <w:rsid w:val="4E5959D6"/>
    <w:rsid w:val="4E6525CD"/>
    <w:rsid w:val="4E65437B"/>
    <w:rsid w:val="4E6C5709"/>
    <w:rsid w:val="4E810A89"/>
    <w:rsid w:val="4E8E65C1"/>
    <w:rsid w:val="4E916F1E"/>
    <w:rsid w:val="4EA07161"/>
    <w:rsid w:val="4ED432AF"/>
    <w:rsid w:val="4EDD6607"/>
    <w:rsid w:val="4EE31982"/>
    <w:rsid w:val="4EEC0984"/>
    <w:rsid w:val="4EF23735"/>
    <w:rsid w:val="4EFE778A"/>
    <w:rsid w:val="4F304989"/>
    <w:rsid w:val="4F334479"/>
    <w:rsid w:val="4F42290E"/>
    <w:rsid w:val="4F602D94"/>
    <w:rsid w:val="4F6E3703"/>
    <w:rsid w:val="4F7D74A2"/>
    <w:rsid w:val="4F961FE5"/>
    <w:rsid w:val="4FAD422B"/>
    <w:rsid w:val="4FB96CA6"/>
    <w:rsid w:val="4FBF3F5F"/>
    <w:rsid w:val="4FC11192"/>
    <w:rsid w:val="4FD35314"/>
    <w:rsid w:val="4FE15C83"/>
    <w:rsid w:val="4FE37C4D"/>
    <w:rsid w:val="4FF534DD"/>
    <w:rsid w:val="503C735D"/>
    <w:rsid w:val="504306EC"/>
    <w:rsid w:val="50504BB7"/>
    <w:rsid w:val="50517E3B"/>
    <w:rsid w:val="50630D8E"/>
    <w:rsid w:val="50650662"/>
    <w:rsid w:val="50681F00"/>
    <w:rsid w:val="5080549C"/>
    <w:rsid w:val="509947B0"/>
    <w:rsid w:val="509B0528"/>
    <w:rsid w:val="50A200F6"/>
    <w:rsid w:val="50AA42C7"/>
    <w:rsid w:val="50B52913"/>
    <w:rsid w:val="50B95B85"/>
    <w:rsid w:val="50BE4216"/>
    <w:rsid w:val="50C77758"/>
    <w:rsid w:val="50D70E34"/>
    <w:rsid w:val="50DC1B38"/>
    <w:rsid w:val="50E023DF"/>
    <w:rsid w:val="50EE68AA"/>
    <w:rsid w:val="51002139"/>
    <w:rsid w:val="511931FB"/>
    <w:rsid w:val="511D718F"/>
    <w:rsid w:val="512E6655"/>
    <w:rsid w:val="512F0C70"/>
    <w:rsid w:val="513149E8"/>
    <w:rsid w:val="5134057D"/>
    <w:rsid w:val="514021AB"/>
    <w:rsid w:val="5144471C"/>
    <w:rsid w:val="51452242"/>
    <w:rsid w:val="51501312"/>
    <w:rsid w:val="51585FF4"/>
    <w:rsid w:val="51654692"/>
    <w:rsid w:val="51694182"/>
    <w:rsid w:val="517B5C63"/>
    <w:rsid w:val="51824B2F"/>
    <w:rsid w:val="518E5269"/>
    <w:rsid w:val="51960CEF"/>
    <w:rsid w:val="519A258E"/>
    <w:rsid w:val="519F5DF6"/>
    <w:rsid w:val="51A27694"/>
    <w:rsid w:val="51B3364F"/>
    <w:rsid w:val="51B82A14"/>
    <w:rsid w:val="51C15D6C"/>
    <w:rsid w:val="51C8534D"/>
    <w:rsid w:val="51CC4711"/>
    <w:rsid w:val="51EE0B2B"/>
    <w:rsid w:val="51FE0D6E"/>
    <w:rsid w:val="52043EAB"/>
    <w:rsid w:val="520C5608"/>
    <w:rsid w:val="520E4D2A"/>
    <w:rsid w:val="521265C8"/>
    <w:rsid w:val="521560B8"/>
    <w:rsid w:val="522B58DB"/>
    <w:rsid w:val="523A167B"/>
    <w:rsid w:val="523E73BD"/>
    <w:rsid w:val="52426781"/>
    <w:rsid w:val="52592449"/>
    <w:rsid w:val="525941F7"/>
    <w:rsid w:val="52642B9B"/>
    <w:rsid w:val="527B23BF"/>
    <w:rsid w:val="5281374D"/>
    <w:rsid w:val="5285323E"/>
    <w:rsid w:val="528A2602"/>
    <w:rsid w:val="528B7300"/>
    <w:rsid w:val="52927709"/>
    <w:rsid w:val="529671F9"/>
    <w:rsid w:val="52976ACD"/>
    <w:rsid w:val="529E7E5B"/>
    <w:rsid w:val="52AF02BB"/>
    <w:rsid w:val="52D00D6F"/>
    <w:rsid w:val="52D715BF"/>
    <w:rsid w:val="52E02222"/>
    <w:rsid w:val="52F42171"/>
    <w:rsid w:val="52FD1026"/>
    <w:rsid w:val="530C4011"/>
    <w:rsid w:val="5313622F"/>
    <w:rsid w:val="5325057D"/>
    <w:rsid w:val="532A16EF"/>
    <w:rsid w:val="53407165"/>
    <w:rsid w:val="534C78B7"/>
    <w:rsid w:val="5357679A"/>
    <w:rsid w:val="535F3A8F"/>
    <w:rsid w:val="53605111"/>
    <w:rsid w:val="53795E99"/>
    <w:rsid w:val="539B0AC5"/>
    <w:rsid w:val="53A51A58"/>
    <w:rsid w:val="53AB6B4B"/>
    <w:rsid w:val="53BD3EDC"/>
    <w:rsid w:val="53BF17C5"/>
    <w:rsid w:val="53C27B7A"/>
    <w:rsid w:val="53C733E2"/>
    <w:rsid w:val="53CB1124"/>
    <w:rsid w:val="53D224B3"/>
    <w:rsid w:val="53D578AD"/>
    <w:rsid w:val="53E915AA"/>
    <w:rsid w:val="53EC2E48"/>
    <w:rsid w:val="53F35F85"/>
    <w:rsid w:val="53FE1B91"/>
    <w:rsid w:val="540957A8"/>
    <w:rsid w:val="540E1011"/>
    <w:rsid w:val="541C1980"/>
    <w:rsid w:val="541D0328"/>
    <w:rsid w:val="54260108"/>
    <w:rsid w:val="54370568"/>
    <w:rsid w:val="543A3BB4"/>
    <w:rsid w:val="54646E83"/>
    <w:rsid w:val="5465766B"/>
    <w:rsid w:val="547075D6"/>
    <w:rsid w:val="54745318"/>
    <w:rsid w:val="54857525"/>
    <w:rsid w:val="548D462B"/>
    <w:rsid w:val="54921C42"/>
    <w:rsid w:val="549239F0"/>
    <w:rsid w:val="54A92AE8"/>
    <w:rsid w:val="54BC0A6D"/>
    <w:rsid w:val="54D77655"/>
    <w:rsid w:val="54E35FFA"/>
    <w:rsid w:val="550A5C7C"/>
    <w:rsid w:val="55173EF5"/>
    <w:rsid w:val="552F56E3"/>
    <w:rsid w:val="553B5E36"/>
    <w:rsid w:val="553B7BE4"/>
    <w:rsid w:val="553E5926"/>
    <w:rsid w:val="55532EF1"/>
    <w:rsid w:val="55545149"/>
    <w:rsid w:val="55667342"/>
    <w:rsid w:val="556C5FEF"/>
    <w:rsid w:val="556F3D31"/>
    <w:rsid w:val="557B26D6"/>
    <w:rsid w:val="55801A9A"/>
    <w:rsid w:val="55805F3E"/>
    <w:rsid w:val="55935C72"/>
    <w:rsid w:val="55BD2CEE"/>
    <w:rsid w:val="55EA4ECA"/>
    <w:rsid w:val="55EC5382"/>
    <w:rsid w:val="56011B71"/>
    <w:rsid w:val="56026953"/>
    <w:rsid w:val="5621327D"/>
    <w:rsid w:val="56350AD7"/>
    <w:rsid w:val="56361045"/>
    <w:rsid w:val="5645019F"/>
    <w:rsid w:val="565332B6"/>
    <w:rsid w:val="56551179"/>
    <w:rsid w:val="56A9637A"/>
    <w:rsid w:val="56B0015D"/>
    <w:rsid w:val="56BC2D7D"/>
    <w:rsid w:val="56BC6B02"/>
    <w:rsid w:val="56C34335"/>
    <w:rsid w:val="56DB78D0"/>
    <w:rsid w:val="56F24C1A"/>
    <w:rsid w:val="56F444EE"/>
    <w:rsid w:val="56F76ED1"/>
    <w:rsid w:val="56FA2421"/>
    <w:rsid w:val="56FE35BF"/>
    <w:rsid w:val="56FE536D"/>
    <w:rsid w:val="57035728"/>
    <w:rsid w:val="570A5ABF"/>
    <w:rsid w:val="571701DC"/>
    <w:rsid w:val="571921A6"/>
    <w:rsid w:val="572E3B80"/>
    <w:rsid w:val="573214BA"/>
    <w:rsid w:val="57392849"/>
    <w:rsid w:val="57407733"/>
    <w:rsid w:val="57633422"/>
    <w:rsid w:val="576D24F2"/>
    <w:rsid w:val="577E19F7"/>
    <w:rsid w:val="57853398"/>
    <w:rsid w:val="5798756F"/>
    <w:rsid w:val="579F6BBB"/>
    <w:rsid w:val="57B65C47"/>
    <w:rsid w:val="57BE68AA"/>
    <w:rsid w:val="57C32112"/>
    <w:rsid w:val="57CC546B"/>
    <w:rsid w:val="57CD70EC"/>
    <w:rsid w:val="57D1482F"/>
    <w:rsid w:val="57DE5369"/>
    <w:rsid w:val="57DE6F4C"/>
    <w:rsid w:val="57E83927"/>
    <w:rsid w:val="57EB3AC0"/>
    <w:rsid w:val="57FD30ED"/>
    <w:rsid w:val="580E4381"/>
    <w:rsid w:val="582E1C82"/>
    <w:rsid w:val="58392CB7"/>
    <w:rsid w:val="5846521D"/>
    <w:rsid w:val="586456A3"/>
    <w:rsid w:val="58692CBA"/>
    <w:rsid w:val="586B6A32"/>
    <w:rsid w:val="587323EE"/>
    <w:rsid w:val="5875165E"/>
    <w:rsid w:val="588B0E82"/>
    <w:rsid w:val="589713E8"/>
    <w:rsid w:val="58AD704A"/>
    <w:rsid w:val="58BB0AAB"/>
    <w:rsid w:val="58C3686E"/>
    <w:rsid w:val="58CA7052"/>
    <w:rsid w:val="58D97E3F"/>
    <w:rsid w:val="58E30CBE"/>
    <w:rsid w:val="58E31247"/>
    <w:rsid w:val="58E32A6C"/>
    <w:rsid w:val="58F00B49"/>
    <w:rsid w:val="59205A6E"/>
    <w:rsid w:val="592A2449"/>
    <w:rsid w:val="592B61C1"/>
    <w:rsid w:val="593432C8"/>
    <w:rsid w:val="59467D6B"/>
    <w:rsid w:val="59527BF2"/>
    <w:rsid w:val="59545718"/>
    <w:rsid w:val="5955323E"/>
    <w:rsid w:val="59561490"/>
    <w:rsid w:val="596C2A61"/>
    <w:rsid w:val="596C74DE"/>
    <w:rsid w:val="598F49A2"/>
    <w:rsid w:val="599B6EA3"/>
    <w:rsid w:val="59A73A9A"/>
    <w:rsid w:val="59A73E93"/>
    <w:rsid w:val="59CB138A"/>
    <w:rsid w:val="59CD1026"/>
    <w:rsid w:val="5A005B83"/>
    <w:rsid w:val="5A07015D"/>
    <w:rsid w:val="5A296BA4"/>
    <w:rsid w:val="5A3070C6"/>
    <w:rsid w:val="5A3B0686"/>
    <w:rsid w:val="5A3B2434"/>
    <w:rsid w:val="5A3D0EC9"/>
    <w:rsid w:val="5A753B98"/>
    <w:rsid w:val="5A9230AC"/>
    <w:rsid w:val="5A955FE8"/>
    <w:rsid w:val="5AB42F3F"/>
    <w:rsid w:val="5ABD5BCE"/>
    <w:rsid w:val="5AD3266C"/>
    <w:rsid w:val="5AD703AE"/>
    <w:rsid w:val="5ADF1011"/>
    <w:rsid w:val="5AFFF0E8"/>
    <w:rsid w:val="5B0647F0"/>
    <w:rsid w:val="5B0F4FEE"/>
    <w:rsid w:val="5B1A029B"/>
    <w:rsid w:val="5B1E7D8B"/>
    <w:rsid w:val="5B22776A"/>
    <w:rsid w:val="5B2335F4"/>
    <w:rsid w:val="5B2D7FCE"/>
    <w:rsid w:val="5B372BFB"/>
    <w:rsid w:val="5B4215E3"/>
    <w:rsid w:val="5B4522D8"/>
    <w:rsid w:val="5B463948"/>
    <w:rsid w:val="5B5419FF"/>
    <w:rsid w:val="5B5A2D8E"/>
    <w:rsid w:val="5B721E85"/>
    <w:rsid w:val="5B7E082A"/>
    <w:rsid w:val="5B8F0C89"/>
    <w:rsid w:val="5B9938B6"/>
    <w:rsid w:val="5BA02E96"/>
    <w:rsid w:val="5BA54009"/>
    <w:rsid w:val="5BAF30D9"/>
    <w:rsid w:val="5BCC5A39"/>
    <w:rsid w:val="5BD14DFE"/>
    <w:rsid w:val="5BE2525D"/>
    <w:rsid w:val="5BE5269E"/>
    <w:rsid w:val="5BE56AFB"/>
    <w:rsid w:val="5BEE08BD"/>
    <w:rsid w:val="5BFD3DBD"/>
    <w:rsid w:val="5C0A0310"/>
    <w:rsid w:val="5C0F4771"/>
    <w:rsid w:val="5C190553"/>
    <w:rsid w:val="5C341831"/>
    <w:rsid w:val="5C3F445D"/>
    <w:rsid w:val="5C4F5ACC"/>
    <w:rsid w:val="5C514191"/>
    <w:rsid w:val="5C700ABB"/>
    <w:rsid w:val="5C7E23FE"/>
    <w:rsid w:val="5C89392A"/>
    <w:rsid w:val="5CA22C3E"/>
    <w:rsid w:val="5CA97B29"/>
    <w:rsid w:val="5CB20DDE"/>
    <w:rsid w:val="5CB53FD1"/>
    <w:rsid w:val="5CCE758F"/>
    <w:rsid w:val="5CD728E8"/>
    <w:rsid w:val="5CDE4451"/>
    <w:rsid w:val="5CED04EE"/>
    <w:rsid w:val="5CFD1C22"/>
    <w:rsid w:val="5CFF1E3E"/>
    <w:rsid w:val="5D211DB5"/>
    <w:rsid w:val="5D26561D"/>
    <w:rsid w:val="5D3121C7"/>
    <w:rsid w:val="5D325D70"/>
    <w:rsid w:val="5D347D3A"/>
    <w:rsid w:val="5D3513BC"/>
    <w:rsid w:val="5D380EAD"/>
    <w:rsid w:val="5D447851"/>
    <w:rsid w:val="5D4B0BE0"/>
    <w:rsid w:val="5D4B6E32"/>
    <w:rsid w:val="5D7243BE"/>
    <w:rsid w:val="5D77511E"/>
    <w:rsid w:val="5D7A7717"/>
    <w:rsid w:val="5D7B6527"/>
    <w:rsid w:val="5D885990"/>
    <w:rsid w:val="5D8D2FA6"/>
    <w:rsid w:val="5D8F4F70"/>
    <w:rsid w:val="5D973E25"/>
    <w:rsid w:val="5DA54794"/>
    <w:rsid w:val="5DA622BA"/>
    <w:rsid w:val="5DAA0F2B"/>
    <w:rsid w:val="5DC015CE"/>
    <w:rsid w:val="5DC10EA2"/>
    <w:rsid w:val="5DCB6F9D"/>
    <w:rsid w:val="5DE74DAC"/>
    <w:rsid w:val="5DEA7383"/>
    <w:rsid w:val="5DF36D07"/>
    <w:rsid w:val="5DF474C9"/>
    <w:rsid w:val="5E056FE1"/>
    <w:rsid w:val="5E106A00"/>
    <w:rsid w:val="5E20206C"/>
    <w:rsid w:val="5E2E59CF"/>
    <w:rsid w:val="5E371164"/>
    <w:rsid w:val="5E451AD3"/>
    <w:rsid w:val="5E60690D"/>
    <w:rsid w:val="5E6A778C"/>
    <w:rsid w:val="5E734892"/>
    <w:rsid w:val="5E761C8C"/>
    <w:rsid w:val="5E7F49CC"/>
    <w:rsid w:val="5E8C5954"/>
    <w:rsid w:val="5EB62805"/>
    <w:rsid w:val="5EEB4428"/>
    <w:rsid w:val="5EF3152F"/>
    <w:rsid w:val="5F0279C4"/>
    <w:rsid w:val="5F1060C7"/>
    <w:rsid w:val="5F180F96"/>
    <w:rsid w:val="5F217E4A"/>
    <w:rsid w:val="5F2C07EB"/>
    <w:rsid w:val="5F385194"/>
    <w:rsid w:val="5F3A715E"/>
    <w:rsid w:val="5F41673E"/>
    <w:rsid w:val="5F441D8B"/>
    <w:rsid w:val="5F520AA1"/>
    <w:rsid w:val="5F553F98"/>
    <w:rsid w:val="5F571ABE"/>
    <w:rsid w:val="5F5875E4"/>
    <w:rsid w:val="5F677827"/>
    <w:rsid w:val="5F7F1015"/>
    <w:rsid w:val="5F812FDF"/>
    <w:rsid w:val="5F8403D9"/>
    <w:rsid w:val="5F906D7E"/>
    <w:rsid w:val="5F9A7BFD"/>
    <w:rsid w:val="5F9F3465"/>
    <w:rsid w:val="5FAD7930"/>
    <w:rsid w:val="5FB707AE"/>
    <w:rsid w:val="5FC52ECB"/>
    <w:rsid w:val="5FCD3B2E"/>
    <w:rsid w:val="5FF732A1"/>
    <w:rsid w:val="5FF94923"/>
    <w:rsid w:val="5FFC57E1"/>
    <w:rsid w:val="6005776C"/>
    <w:rsid w:val="60107EBF"/>
    <w:rsid w:val="601614EA"/>
    <w:rsid w:val="602D7E69"/>
    <w:rsid w:val="604858AA"/>
    <w:rsid w:val="60570A2B"/>
    <w:rsid w:val="605E50CE"/>
    <w:rsid w:val="60651FB9"/>
    <w:rsid w:val="60732927"/>
    <w:rsid w:val="60746F6B"/>
    <w:rsid w:val="607B7A2E"/>
    <w:rsid w:val="608508AD"/>
    <w:rsid w:val="60874625"/>
    <w:rsid w:val="609006A0"/>
    <w:rsid w:val="6098238E"/>
    <w:rsid w:val="60997EB4"/>
    <w:rsid w:val="609B3C2C"/>
    <w:rsid w:val="609B64B9"/>
    <w:rsid w:val="60D32BA4"/>
    <w:rsid w:val="60F31CBA"/>
    <w:rsid w:val="60F65306"/>
    <w:rsid w:val="610E43FE"/>
    <w:rsid w:val="611A7247"/>
    <w:rsid w:val="611F660B"/>
    <w:rsid w:val="612C0D28"/>
    <w:rsid w:val="612E0512"/>
    <w:rsid w:val="613B0F6B"/>
    <w:rsid w:val="614815AD"/>
    <w:rsid w:val="61493688"/>
    <w:rsid w:val="614B11AE"/>
    <w:rsid w:val="615A7643"/>
    <w:rsid w:val="615C160D"/>
    <w:rsid w:val="61630BEE"/>
    <w:rsid w:val="61642270"/>
    <w:rsid w:val="61774699"/>
    <w:rsid w:val="61932B55"/>
    <w:rsid w:val="619C2753"/>
    <w:rsid w:val="61A34D07"/>
    <w:rsid w:val="61A905CB"/>
    <w:rsid w:val="61BC3E5A"/>
    <w:rsid w:val="61D45648"/>
    <w:rsid w:val="61DC274E"/>
    <w:rsid w:val="61E84C4F"/>
    <w:rsid w:val="6208709F"/>
    <w:rsid w:val="62177E24"/>
    <w:rsid w:val="623A1223"/>
    <w:rsid w:val="623D40E8"/>
    <w:rsid w:val="624014F4"/>
    <w:rsid w:val="62436329"/>
    <w:rsid w:val="62510773"/>
    <w:rsid w:val="62522A10"/>
    <w:rsid w:val="625E3163"/>
    <w:rsid w:val="62944DD7"/>
    <w:rsid w:val="62AA45FB"/>
    <w:rsid w:val="62AE48A0"/>
    <w:rsid w:val="62D358FF"/>
    <w:rsid w:val="62DC5937"/>
    <w:rsid w:val="62DE42A4"/>
    <w:rsid w:val="62E713AB"/>
    <w:rsid w:val="62EF025F"/>
    <w:rsid w:val="62F31AFE"/>
    <w:rsid w:val="63027F93"/>
    <w:rsid w:val="630E4B89"/>
    <w:rsid w:val="631261AF"/>
    <w:rsid w:val="631F6D97"/>
    <w:rsid w:val="63253C81"/>
    <w:rsid w:val="6329551F"/>
    <w:rsid w:val="63312626"/>
    <w:rsid w:val="63486485"/>
    <w:rsid w:val="63495BC1"/>
    <w:rsid w:val="634E4F86"/>
    <w:rsid w:val="63534C92"/>
    <w:rsid w:val="635527B8"/>
    <w:rsid w:val="635A5B18"/>
    <w:rsid w:val="635C3B47"/>
    <w:rsid w:val="636523EF"/>
    <w:rsid w:val="636B3D8A"/>
    <w:rsid w:val="636C7B02"/>
    <w:rsid w:val="6384309D"/>
    <w:rsid w:val="6388652C"/>
    <w:rsid w:val="638E1826"/>
    <w:rsid w:val="638E7A78"/>
    <w:rsid w:val="63952BB5"/>
    <w:rsid w:val="63A23524"/>
    <w:rsid w:val="63A86D8C"/>
    <w:rsid w:val="63E36016"/>
    <w:rsid w:val="63EF48C4"/>
    <w:rsid w:val="63F44780"/>
    <w:rsid w:val="63FA510E"/>
    <w:rsid w:val="640F6E0B"/>
    <w:rsid w:val="64191A38"/>
    <w:rsid w:val="642F125B"/>
    <w:rsid w:val="6434227F"/>
    <w:rsid w:val="64467F2A"/>
    <w:rsid w:val="644A7E43"/>
    <w:rsid w:val="64502B77"/>
    <w:rsid w:val="64502F80"/>
    <w:rsid w:val="645C7B76"/>
    <w:rsid w:val="646B1B68"/>
    <w:rsid w:val="64915A72"/>
    <w:rsid w:val="64970BAF"/>
    <w:rsid w:val="64992B79"/>
    <w:rsid w:val="64A137DB"/>
    <w:rsid w:val="64A664D6"/>
    <w:rsid w:val="64C25C2B"/>
    <w:rsid w:val="64C6694E"/>
    <w:rsid w:val="64E33DF4"/>
    <w:rsid w:val="64E554B8"/>
    <w:rsid w:val="64E75692"/>
    <w:rsid w:val="64EE4C72"/>
    <w:rsid w:val="65121E97"/>
    <w:rsid w:val="65150451"/>
    <w:rsid w:val="6518584B"/>
    <w:rsid w:val="651D2E62"/>
    <w:rsid w:val="651E6BDA"/>
    <w:rsid w:val="652526F1"/>
    <w:rsid w:val="652A1A23"/>
    <w:rsid w:val="652E32C1"/>
    <w:rsid w:val="65362175"/>
    <w:rsid w:val="65491EA9"/>
    <w:rsid w:val="65530F79"/>
    <w:rsid w:val="656E5DB3"/>
    <w:rsid w:val="65864EAB"/>
    <w:rsid w:val="658C6239"/>
    <w:rsid w:val="659770B8"/>
    <w:rsid w:val="65B24927"/>
    <w:rsid w:val="65BF03BD"/>
    <w:rsid w:val="65C05CE3"/>
    <w:rsid w:val="65CB4FB4"/>
    <w:rsid w:val="65CE6852"/>
    <w:rsid w:val="65D774B5"/>
    <w:rsid w:val="65DE6191"/>
    <w:rsid w:val="65F8567D"/>
    <w:rsid w:val="66042274"/>
    <w:rsid w:val="66171FA7"/>
    <w:rsid w:val="66212E26"/>
    <w:rsid w:val="66303069"/>
    <w:rsid w:val="66423C1C"/>
    <w:rsid w:val="66434B4A"/>
    <w:rsid w:val="66577444"/>
    <w:rsid w:val="66707909"/>
    <w:rsid w:val="66756CCD"/>
    <w:rsid w:val="6679056C"/>
    <w:rsid w:val="668B64F1"/>
    <w:rsid w:val="668D2269"/>
    <w:rsid w:val="669E4476"/>
    <w:rsid w:val="66A7157D"/>
    <w:rsid w:val="66A870A3"/>
    <w:rsid w:val="66B27F22"/>
    <w:rsid w:val="66B617C0"/>
    <w:rsid w:val="66BB0B84"/>
    <w:rsid w:val="66BE7A81"/>
    <w:rsid w:val="66C26669"/>
    <w:rsid w:val="66CA0DC7"/>
    <w:rsid w:val="66CC0FE3"/>
    <w:rsid w:val="66CD08B8"/>
    <w:rsid w:val="66EF6A80"/>
    <w:rsid w:val="66F70D8B"/>
    <w:rsid w:val="66FC2F4B"/>
    <w:rsid w:val="670D6401"/>
    <w:rsid w:val="672229B1"/>
    <w:rsid w:val="673152EA"/>
    <w:rsid w:val="674212A6"/>
    <w:rsid w:val="674768BC"/>
    <w:rsid w:val="675D7E8D"/>
    <w:rsid w:val="67670D0C"/>
    <w:rsid w:val="67803B7C"/>
    <w:rsid w:val="67890C82"/>
    <w:rsid w:val="678E44EB"/>
    <w:rsid w:val="67900263"/>
    <w:rsid w:val="679D1A08"/>
    <w:rsid w:val="67A930D3"/>
    <w:rsid w:val="67AE2497"/>
    <w:rsid w:val="67B657F0"/>
    <w:rsid w:val="67B6759E"/>
    <w:rsid w:val="67BE346E"/>
    <w:rsid w:val="67BF6452"/>
    <w:rsid w:val="67CB129B"/>
    <w:rsid w:val="67CB643B"/>
    <w:rsid w:val="67D53EC8"/>
    <w:rsid w:val="67D55C76"/>
    <w:rsid w:val="67E81E4D"/>
    <w:rsid w:val="67F0485E"/>
    <w:rsid w:val="67F325A0"/>
    <w:rsid w:val="68112A26"/>
    <w:rsid w:val="68264723"/>
    <w:rsid w:val="682664D1"/>
    <w:rsid w:val="682A1165"/>
    <w:rsid w:val="682E182A"/>
    <w:rsid w:val="683706DE"/>
    <w:rsid w:val="683C7AA3"/>
    <w:rsid w:val="683F3A37"/>
    <w:rsid w:val="68476448"/>
    <w:rsid w:val="684B418A"/>
    <w:rsid w:val="68703BF0"/>
    <w:rsid w:val="68753B9E"/>
    <w:rsid w:val="687731D1"/>
    <w:rsid w:val="687A05CB"/>
    <w:rsid w:val="688A4CB2"/>
    <w:rsid w:val="689F0032"/>
    <w:rsid w:val="68AD09A1"/>
    <w:rsid w:val="68B43ADD"/>
    <w:rsid w:val="68BC5088"/>
    <w:rsid w:val="68C006D4"/>
    <w:rsid w:val="68C63810"/>
    <w:rsid w:val="68C87588"/>
    <w:rsid w:val="68CF0402"/>
    <w:rsid w:val="68D91796"/>
    <w:rsid w:val="68DC1286"/>
    <w:rsid w:val="68EF720B"/>
    <w:rsid w:val="68F24605"/>
    <w:rsid w:val="68F71C1C"/>
    <w:rsid w:val="68FB5BB0"/>
    <w:rsid w:val="68FD630F"/>
    <w:rsid w:val="691B3B5C"/>
    <w:rsid w:val="691C6E94"/>
    <w:rsid w:val="69236EB5"/>
    <w:rsid w:val="69263D36"/>
    <w:rsid w:val="693E3CEF"/>
    <w:rsid w:val="69456E2B"/>
    <w:rsid w:val="695F613F"/>
    <w:rsid w:val="69967687"/>
    <w:rsid w:val="69981651"/>
    <w:rsid w:val="699851AD"/>
    <w:rsid w:val="699F29DF"/>
    <w:rsid w:val="69B144C0"/>
    <w:rsid w:val="69D106BF"/>
    <w:rsid w:val="69E126A2"/>
    <w:rsid w:val="69E46644"/>
    <w:rsid w:val="69EB1780"/>
    <w:rsid w:val="69EC72A7"/>
    <w:rsid w:val="69F148BD"/>
    <w:rsid w:val="6A083F67"/>
    <w:rsid w:val="6A0E36C1"/>
    <w:rsid w:val="6A1157FE"/>
    <w:rsid w:val="6A152CA1"/>
    <w:rsid w:val="6A2B4273"/>
    <w:rsid w:val="6A35700F"/>
    <w:rsid w:val="6A366774"/>
    <w:rsid w:val="6A372C18"/>
    <w:rsid w:val="6A3749C6"/>
    <w:rsid w:val="6A440E91"/>
    <w:rsid w:val="6A590DE0"/>
    <w:rsid w:val="6A721EA2"/>
    <w:rsid w:val="6A797D10"/>
    <w:rsid w:val="6A7C062B"/>
    <w:rsid w:val="6A7F17C0"/>
    <w:rsid w:val="6A95793E"/>
    <w:rsid w:val="6AA87672"/>
    <w:rsid w:val="6AAF68B9"/>
    <w:rsid w:val="6AB9187F"/>
    <w:rsid w:val="6AC83870"/>
    <w:rsid w:val="6AD045C0"/>
    <w:rsid w:val="6AD541DF"/>
    <w:rsid w:val="6AED1528"/>
    <w:rsid w:val="6AED32D6"/>
    <w:rsid w:val="6B07083C"/>
    <w:rsid w:val="6B0B19AE"/>
    <w:rsid w:val="6B160A7F"/>
    <w:rsid w:val="6B1B7E43"/>
    <w:rsid w:val="6B2108C9"/>
    <w:rsid w:val="6B2111D2"/>
    <w:rsid w:val="6B2C2051"/>
    <w:rsid w:val="6B63265C"/>
    <w:rsid w:val="6B785296"/>
    <w:rsid w:val="6B8A321B"/>
    <w:rsid w:val="6B916358"/>
    <w:rsid w:val="6B9A12F9"/>
    <w:rsid w:val="6BA936A1"/>
    <w:rsid w:val="6BB362CE"/>
    <w:rsid w:val="6BD12BF8"/>
    <w:rsid w:val="6BD44496"/>
    <w:rsid w:val="6BD9593D"/>
    <w:rsid w:val="6BE24E05"/>
    <w:rsid w:val="6BF90303"/>
    <w:rsid w:val="6BFB4527"/>
    <w:rsid w:val="6C042FCD"/>
    <w:rsid w:val="6C0F5211"/>
    <w:rsid w:val="6C16685D"/>
    <w:rsid w:val="6C265D0B"/>
    <w:rsid w:val="6C2947E2"/>
    <w:rsid w:val="6C2E3BA6"/>
    <w:rsid w:val="6C44161C"/>
    <w:rsid w:val="6C507FC1"/>
    <w:rsid w:val="6C587DA0"/>
    <w:rsid w:val="6C6972D4"/>
    <w:rsid w:val="6C77379F"/>
    <w:rsid w:val="6C7A6DEC"/>
    <w:rsid w:val="6C8D2FC3"/>
    <w:rsid w:val="6C9A56E0"/>
    <w:rsid w:val="6CA43E69"/>
    <w:rsid w:val="6CAE6A95"/>
    <w:rsid w:val="6CB467A2"/>
    <w:rsid w:val="6CC82BB3"/>
    <w:rsid w:val="6CE8644B"/>
    <w:rsid w:val="6CEC4DC1"/>
    <w:rsid w:val="6CEF14C7"/>
    <w:rsid w:val="6CEF1588"/>
    <w:rsid w:val="6CF070AE"/>
    <w:rsid w:val="6CFB4D33"/>
    <w:rsid w:val="6D020676"/>
    <w:rsid w:val="6D080941"/>
    <w:rsid w:val="6D08585E"/>
    <w:rsid w:val="6D0F39D8"/>
    <w:rsid w:val="6D12171A"/>
    <w:rsid w:val="6D342E96"/>
    <w:rsid w:val="6D635AD2"/>
    <w:rsid w:val="6D7D631A"/>
    <w:rsid w:val="6D9739CD"/>
    <w:rsid w:val="6D97577B"/>
    <w:rsid w:val="6DA06D26"/>
    <w:rsid w:val="6DB30807"/>
    <w:rsid w:val="6DBD3434"/>
    <w:rsid w:val="6DBE0F5A"/>
    <w:rsid w:val="6DD10C8D"/>
    <w:rsid w:val="6DD644F6"/>
    <w:rsid w:val="6DFB1F7E"/>
    <w:rsid w:val="6E0A23F1"/>
    <w:rsid w:val="6E1A6AD8"/>
    <w:rsid w:val="6E3631E6"/>
    <w:rsid w:val="6E3B00E8"/>
    <w:rsid w:val="6E453094"/>
    <w:rsid w:val="6E4753F3"/>
    <w:rsid w:val="6E4771A1"/>
    <w:rsid w:val="6E4C2A0A"/>
    <w:rsid w:val="6E5024FA"/>
    <w:rsid w:val="6E5042A8"/>
    <w:rsid w:val="6E5B2C4D"/>
    <w:rsid w:val="6E5C1E3C"/>
    <w:rsid w:val="6E6304C3"/>
    <w:rsid w:val="6E637F68"/>
    <w:rsid w:val="6E641B9E"/>
    <w:rsid w:val="6E8C1058"/>
    <w:rsid w:val="6E985C4F"/>
    <w:rsid w:val="6EAA69C0"/>
    <w:rsid w:val="6EAB7730"/>
    <w:rsid w:val="6EAE0FCF"/>
    <w:rsid w:val="6EB26D11"/>
    <w:rsid w:val="6EB5235D"/>
    <w:rsid w:val="6EBC36EB"/>
    <w:rsid w:val="6EC922AC"/>
    <w:rsid w:val="6ECE1671"/>
    <w:rsid w:val="6ED43DFA"/>
    <w:rsid w:val="6EDA1DC4"/>
    <w:rsid w:val="6EE175F6"/>
    <w:rsid w:val="6EFF182A"/>
    <w:rsid w:val="6F265009"/>
    <w:rsid w:val="6F502086"/>
    <w:rsid w:val="6F547DC8"/>
    <w:rsid w:val="6F5C0A2B"/>
    <w:rsid w:val="6F742218"/>
    <w:rsid w:val="6F854425"/>
    <w:rsid w:val="6F8B7571"/>
    <w:rsid w:val="6F975F07"/>
    <w:rsid w:val="6FBE16E5"/>
    <w:rsid w:val="6FC0545D"/>
    <w:rsid w:val="6FC36CFC"/>
    <w:rsid w:val="6FCD1928"/>
    <w:rsid w:val="6FCF5713"/>
    <w:rsid w:val="6FEC0000"/>
    <w:rsid w:val="6FEF7AF1"/>
    <w:rsid w:val="70027824"/>
    <w:rsid w:val="70221C74"/>
    <w:rsid w:val="70227EC6"/>
    <w:rsid w:val="70343755"/>
    <w:rsid w:val="704020FA"/>
    <w:rsid w:val="70441BEA"/>
    <w:rsid w:val="704E4817"/>
    <w:rsid w:val="70585696"/>
    <w:rsid w:val="705C33D8"/>
    <w:rsid w:val="705F4C76"/>
    <w:rsid w:val="7060454A"/>
    <w:rsid w:val="708C533F"/>
    <w:rsid w:val="709F5073"/>
    <w:rsid w:val="70AB1C6A"/>
    <w:rsid w:val="70AD00C7"/>
    <w:rsid w:val="70C41556"/>
    <w:rsid w:val="70C5440D"/>
    <w:rsid w:val="70D25448"/>
    <w:rsid w:val="70DC1E23"/>
    <w:rsid w:val="70DF7B65"/>
    <w:rsid w:val="70E46F2A"/>
    <w:rsid w:val="70EB650A"/>
    <w:rsid w:val="710870BC"/>
    <w:rsid w:val="71092E34"/>
    <w:rsid w:val="71121CE9"/>
    <w:rsid w:val="71127D51"/>
    <w:rsid w:val="711F61B4"/>
    <w:rsid w:val="71217498"/>
    <w:rsid w:val="71257C6E"/>
    <w:rsid w:val="712832BA"/>
    <w:rsid w:val="7130216F"/>
    <w:rsid w:val="713A4D9B"/>
    <w:rsid w:val="713E2ADE"/>
    <w:rsid w:val="716167CC"/>
    <w:rsid w:val="71733335"/>
    <w:rsid w:val="717958C4"/>
    <w:rsid w:val="718129CA"/>
    <w:rsid w:val="718878EE"/>
    <w:rsid w:val="718F6E95"/>
    <w:rsid w:val="71A747B5"/>
    <w:rsid w:val="71A803D2"/>
    <w:rsid w:val="71B44B4E"/>
    <w:rsid w:val="71C64BA6"/>
    <w:rsid w:val="71D945B4"/>
    <w:rsid w:val="71DC5E53"/>
    <w:rsid w:val="71DE606F"/>
    <w:rsid w:val="71E05943"/>
    <w:rsid w:val="71E371E1"/>
    <w:rsid w:val="71EF5DDD"/>
    <w:rsid w:val="71F92EA9"/>
    <w:rsid w:val="72141A90"/>
    <w:rsid w:val="722A3062"/>
    <w:rsid w:val="72331F17"/>
    <w:rsid w:val="723E08BB"/>
    <w:rsid w:val="726227FC"/>
    <w:rsid w:val="72664129"/>
    <w:rsid w:val="726E2F4F"/>
    <w:rsid w:val="72712A3F"/>
    <w:rsid w:val="727442DD"/>
    <w:rsid w:val="72756578"/>
    <w:rsid w:val="7285473C"/>
    <w:rsid w:val="72895FDA"/>
    <w:rsid w:val="728C1627"/>
    <w:rsid w:val="72940443"/>
    <w:rsid w:val="72AA7CFF"/>
    <w:rsid w:val="72B648F6"/>
    <w:rsid w:val="72BA2638"/>
    <w:rsid w:val="72BD3ED6"/>
    <w:rsid w:val="72BF0CD3"/>
    <w:rsid w:val="72C9287B"/>
    <w:rsid w:val="72CD3683"/>
    <w:rsid w:val="72CE2DC0"/>
    <w:rsid w:val="72CE7E91"/>
    <w:rsid w:val="72D336FA"/>
    <w:rsid w:val="72FC49FE"/>
    <w:rsid w:val="7315161C"/>
    <w:rsid w:val="731735E6"/>
    <w:rsid w:val="731A4E85"/>
    <w:rsid w:val="734F0FD2"/>
    <w:rsid w:val="734F4630"/>
    <w:rsid w:val="735465E8"/>
    <w:rsid w:val="735E1215"/>
    <w:rsid w:val="737722D7"/>
    <w:rsid w:val="737A1DC7"/>
    <w:rsid w:val="737E18B7"/>
    <w:rsid w:val="73927111"/>
    <w:rsid w:val="739C3AEB"/>
    <w:rsid w:val="739D216D"/>
    <w:rsid w:val="73A3131E"/>
    <w:rsid w:val="73A6496A"/>
    <w:rsid w:val="73B52DFF"/>
    <w:rsid w:val="73BF9238"/>
    <w:rsid w:val="73C07505"/>
    <w:rsid w:val="73C123F0"/>
    <w:rsid w:val="73CA68AB"/>
    <w:rsid w:val="73D17C39"/>
    <w:rsid w:val="73D9089C"/>
    <w:rsid w:val="73E01C2A"/>
    <w:rsid w:val="73E050E7"/>
    <w:rsid w:val="73F72608"/>
    <w:rsid w:val="74035919"/>
    <w:rsid w:val="740F0761"/>
    <w:rsid w:val="742419FF"/>
    <w:rsid w:val="742A10F7"/>
    <w:rsid w:val="7430760E"/>
    <w:rsid w:val="74424C40"/>
    <w:rsid w:val="7450102B"/>
    <w:rsid w:val="745E5245"/>
    <w:rsid w:val="745F3344"/>
    <w:rsid w:val="74654825"/>
    <w:rsid w:val="746C5BB4"/>
    <w:rsid w:val="74730CF0"/>
    <w:rsid w:val="747D56CB"/>
    <w:rsid w:val="748C1DB2"/>
    <w:rsid w:val="74A7099A"/>
    <w:rsid w:val="74A964C0"/>
    <w:rsid w:val="74AF784E"/>
    <w:rsid w:val="74B66E2F"/>
    <w:rsid w:val="74BB4445"/>
    <w:rsid w:val="74C57072"/>
    <w:rsid w:val="74EA0E5B"/>
    <w:rsid w:val="74FC3559"/>
    <w:rsid w:val="75033A3D"/>
    <w:rsid w:val="75053244"/>
    <w:rsid w:val="750C4CA1"/>
    <w:rsid w:val="751678CE"/>
    <w:rsid w:val="75183646"/>
    <w:rsid w:val="751A5610"/>
    <w:rsid w:val="751D6716"/>
    <w:rsid w:val="75265620"/>
    <w:rsid w:val="75412B9C"/>
    <w:rsid w:val="75452F6C"/>
    <w:rsid w:val="75510906"/>
    <w:rsid w:val="756179A4"/>
    <w:rsid w:val="756B7C19"/>
    <w:rsid w:val="75703482"/>
    <w:rsid w:val="75722D56"/>
    <w:rsid w:val="75790588"/>
    <w:rsid w:val="757A60AE"/>
    <w:rsid w:val="75874327"/>
    <w:rsid w:val="75C13CDD"/>
    <w:rsid w:val="75CD4430"/>
    <w:rsid w:val="75CE1932"/>
    <w:rsid w:val="75D4B0C5"/>
    <w:rsid w:val="75D51537"/>
    <w:rsid w:val="75D532E5"/>
    <w:rsid w:val="75D752AF"/>
    <w:rsid w:val="75DB4D9F"/>
    <w:rsid w:val="75FE0A8D"/>
    <w:rsid w:val="7601232C"/>
    <w:rsid w:val="76143E0D"/>
    <w:rsid w:val="762A1882"/>
    <w:rsid w:val="763A0B1C"/>
    <w:rsid w:val="763A7419"/>
    <w:rsid w:val="764861AD"/>
    <w:rsid w:val="76516E0F"/>
    <w:rsid w:val="76574CE1"/>
    <w:rsid w:val="7668007C"/>
    <w:rsid w:val="76726D86"/>
    <w:rsid w:val="768F7938"/>
    <w:rsid w:val="76917445"/>
    <w:rsid w:val="76A01B45"/>
    <w:rsid w:val="76AC2297"/>
    <w:rsid w:val="76C235E7"/>
    <w:rsid w:val="76D33CC8"/>
    <w:rsid w:val="76D66663"/>
    <w:rsid w:val="76DE441B"/>
    <w:rsid w:val="76E53085"/>
    <w:rsid w:val="76EE28B0"/>
    <w:rsid w:val="76F65C09"/>
    <w:rsid w:val="771340C5"/>
    <w:rsid w:val="77163BB5"/>
    <w:rsid w:val="772938E8"/>
    <w:rsid w:val="772B3B04"/>
    <w:rsid w:val="77304C77"/>
    <w:rsid w:val="7731279D"/>
    <w:rsid w:val="77422BFC"/>
    <w:rsid w:val="77471FC0"/>
    <w:rsid w:val="7748352A"/>
    <w:rsid w:val="775062A0"/>
    <w:rsid w:val="775C1F10"/>
    <w:rsid w:val="7763329E"/>
    <w:rsid w:val="779D6084"/>
    <w:rsid w:val="77B533CE"/>
    <w:rsid w:val="77D73344"/>
    <w:rsid w:val="77E141C3"/>
    <w:rsid w:val="77F02658"/>
    <w:rsid w:val="77F04406"/>
    <w:rsid w:val="780A196C"/>
    <w:rsid w:val="780B7492"/>
    <w:rsid w:val="782011A4"/>
    <w:rsid w:val="782A3DBC"/>
    <w:rsid w:val="784529A4"/>
    <w:rsid w:val="78515B7F"/>
    <w:rsid w:val="785E3A65"/>
    <w:rsid w:val="78656BA2"/>
    <w:rsid w:val="786D330D"/>
    <w:rsid w:val="786F5C73"/>
    <w:rsid w:val="78770F95"/>
    <w:rsid w:val="788334CC"/>
    <w:rsid w:val="789D27E0"/>
    <w:rsid w:val="78AF606F"/>
    <w:rsid w:val="78B13B95"/>
    <w:rsid w:val="78B2790D"/>
    <w:rsid w:val="78D07094"/>
    <w:rsid w:val="78D67BCB"/>
    <w:rsid w:val="78E52B1B"/>
    <w:rsid w:val="78E669F0"/>
    <w:rsid w:val="78E71D41"/>
    <w:rsid w:val="78E81581"/>
    <w:rsid w:val="78F817C4"/>
    <w:rsid w:val="7908577F"/>
    <w:rsid w:val="790C76E8"/>
    <w:rsid w:val="79170734"/>
    <w:rsid w:val="791D122B"/>
    <w:rsid w:val="791E4FA3"/>
    <w:rsid w:val="792B7DEB"/>
    <w:rsid w:val="7936053E"/>
    <w:rsid w:val="793622EC"/>
    <w:rsid w:val="793842B6"/>
    <w:rsid w:val="796B4D55"/>
    <w:rsid w:val="796C3F60"/>
    <w:rsid w:val="7970626C"/>
    <w:rsid w:val="797352EE"/>
    <w:rsid w:val="79751067"/>
    <w:rsid w:val="797846B3"/>
    <w:rsid w:val="79817A0B"/>
    <w:rsid w:val="798B6ADC"/>
    <w:rsid w:val="79922AD0"/>
    <w:rsid w:val="79C773E8"/>
    <w:rsid w:val="79DF4732"/>
    <w:rsid w:val="79FA77BE"/>
    <w:rsid w:val="79FF79A7"/>
    <w:rsid w:val="7A0A5C53"/>
    <w:rsid w:val="7A1317B6"/>
    <w:rsid w:val="7A2F34BC"/>
    <w:rsid w:val="7A3B70EC"/>
    <w:rsid w:val="7A480529"/>
    <w:rsid w:val="7A545120"/>
    <w:rsid w:val="7A552C46"/>
    <w:rsid w:val="7A565780"/>
    <w:rsid w:val="7A5E1AFB"/>
    <w:rsid w:val="7A6730A5"/>
    <w:rsid w:val="7A68455E"/>
    <w:rsid w:val="7A796935"/>
    <w:rsid w:val="7A995229"/>
    <w:rsid w:val="7A9F1C4C"/>
    <w:rsid w:val="7AAF2356"/>
    <w:rsid w:val="7AB931D5"/>
    <w:rsid w:val="7AC2652D"/>
    <w:rsid w:val="7AD149C3"/>
    <w:rsid w:val="7AD41DBD"/>
    <w:rsid w:val="7AE80896"/>
    <w:rsid w:val="7AEB2F9F"/>
    <w:rsid w:val="7B073F40"/>
    <w:rsid w:val="7B0F7299"/>
    <w:rsid w:val="7B120345"/>
    <w:rsid w:val="7B1B79EC"/>
    <w:rsid w:val="7B260425"/>
    <w:rsid w:val="7B2F566B"/>
    <w:rsid w:val="7B3B008E"/>
    <w:rsid w:val="7B3C7443"/>
    <w:rsid w:val="7B3D5BB4"/>
    <w:rsid w:val="7B4C4049"/>
    <w:rsid w:val="7B672C31"/>
    <w:rsid w:val="7B867909"/>
    <w:rsid w:val="7B99D617"/>
    <w:rsid w:val="7B9C59FD"/>
    <w:rsid w:val="7BA619AB"/>
    <w:rsid w:val="7BAB0D70"/>
    <w:rsid w:val="7BB816DF"/>
    <w:rsid w:val="7BC10593"/>
    <w:rsid w:val="7BC40083"/>
    <w:rsid w:val="7BF070CA"/>
    <w:rsid w:val="7BF52AB4"/>
    <w:rsid w:val="7BF546E1"/>
    <w:rsid w:val="7BFA3AA5"/>
    <w:rsid w:val="7C0A2A41"/>
    <w:rsid w:val="7C0B5CB2"/>
    <w:rsid w:val="7C1F350C"/>
    <w:rsid w:val="7C2E19A1"/>
    <w:rsid w:val="7C3413DA"/>
    <w:rsid w:val="7C38637B"/>
    <w:rsid w:val="7C3F595C"/>
    <w:rsid w:val="7C5E5DE2"/>
    <w:rsid w:val="7C646578"/>
    <w:rsid w:val="7C6748D0"/>
    <w:rsid w:val="7C745605"/>
    <w:rsid w:val="7C7A4BE6"/>
    <w:rsid w:val="7C8968A0"/>
    <w:rsid w:val="7C9C2DAE"/>
    <w:rsid w:val="7CA0464C"/>
    <w:rsid w:val="7CB37822"/>
    <w:rsid w:val="7CB93DB9"/>
    <w:rsid w:val="7CBE2D25"/>
    <w:rsid w:val="7CCC5441"/>
    <w:rsid w:val="7CCD11BA"/>
    <w:rsid w:val="7CD0592A"/>
    <w:rsid w:val="7CDE5175"/>
    <w:rsid w:val="7CF36E72"/>
    <w:rsid w:val="7CFB7AD5"/>
    <w:rsid w:val="7D0821F2"/>
    <w:rsid w:val="7D1312C2"/>
    <w:rsid w:val="7D3D633F"/>
    <w:rsid w:val="7D4E1740"/>
    <w:rsid w:val="7D537911"/>
    <w:rsid w:val="7D672ACC"/>
    <w:rsid w:val="7D747887"/>
    <w:rsid w:val="7D812491"/>
    <w:rsid w:val="7D8775BA"/>
    <w:rsid w:val="7D8B120C"/>
    <w:rsid w:val="7D9A6DB2"/>
    <w:rsid w:val="7DA63EE4"/>
    <w:rsid w:val="7DC26844"/>
    <w:rsid w:val="7DC425BD"/>
    <w:rsid w:val="7DC76BDC"/>
    <w:rsid w:val="7DDB3462"/>
    <w:rsid w:val="7DFD787D"/>
    <w:rsid w:val="7E074257"/>
    <w:rsid w:val="7E105802"/>
    <w:rsid w:val="7E123328"/>
    <w:rsid w:val="7E275317"/>
    <w:rsid w:val="7E2766A8"/>
    <w:rsid w:val="7E28290B"/>
    <w:rsid w:val="7E327526"/>
    <w:rsid w:val="7E3314F0"/>
    <w:rsid w:val="7E386A97"/>
    <w:rsid w:val="7E413C0D"/>
    <w:rsid w:val="7E490D14"/>
    <w:rsid w:val="7E5576B9"/>
    <w:rsid w:val="7E635932"/>
    <w:rsid w:val="7E682F48"/>
    <w:rsid w:val="7E7713DD"/>
    <w:rsid w:val="7E7F716F"/>
    <w:rsid w:val="7E81225C"/>
    <w:rsid w:val="7E843AFA"/>
    <w:rsid w:val="7E8458A8"/>
    <w:rsid w:val="7E941F8F"/>
    <w:rsid w:val="7E953F59"/>
    <w:rsid w:val="7E9B156F"/>
    <w:rsid w:val="7E9F13E6"/>
    <w:rsid w:val="7EA02C34"/>
    <w:rsid w:val="7EA83C8C"/>
    <w:rsid w:val="7EBC7738"/>
    <w:rsid w:val="7EC531C6"/>
    <w:rsid w:val="7ED625A7"/>
    <w:rsid w:val="7EE10F4C"/>
    <w:rsid w:val="7EE2719E"/>
    <w:rsid w:val="7EEB3B79"/>
    <w:rsid w:val="7EF4298D"/>
    <w:rsid w:val="7EF944E8"/>
    <w:rsid w:val="7F045E48"/>
    <w:rsid w:val="7F1127C6"/>
    <w:rsid w:val="7F1760DD"/>
    <w:rsid w:val="7F2C0419"/>
    <w:rsid w:val="7F2F3A66"/>
    <w:rsid w:val="7F416D5D"/>
    <w:rsid w:val="7F5B485B"/>
    <w:rsid w:val="7F8042C1"/>
    <w:rsid w:val="7F857B2A"/>
    <w:rsid w:val="7F8A3392"/>
    <w:rsid w:val="7F9452D1"/>
    <w:rsid w:val="7F9E37FF"/>
    <w:rsid w:val="7FA51F7A"/>
    <w:rsid w:val="7FC10BA1"/>
    <w:rsid w:val="7FC40652"/>
    <w:rsid w:val="7FD92575"/>
    <w:rsid w:val="7FDB3BED"/>
    <w:rsid w:val="7FE505C8"/>
    <w:rsid w:val="7FEB1D8F"/>
    <w:rsid w:val="7FF41D4E"/>
    <w:rsid w:val="7FF5203B"/>
    <w:rsid w:val="7FF715B5"/>
    <w:rsid w:val="7FFFA278"/>
    <w:rsid w:val="933A8699"/>
    <w:rsid w:val="B57EE1F8"/>
    <w:rsid w:val="BBDB3739"/>
    <w:rsid w:val="BFF3C5C6"/>
    <w:rsid w:val="C5B9F74B"/>
    <w:rsid w:val="D6EFC8B1"/>
    <w:rsid w:val="DBF7B899"/>
    <w:rsid w:val="DFEFD7DC"/>
    <w:rsid w:val="EBBF1102"/>
    <w:rsid w:val="EFB97B77"/>
    <w:rsid w:val="F5F617C8"/>
    <w:rsid w:val="F7CE73C2"/>
    <w:rsid w:val="FE97150B"/>
    <w:rsid w:val="FEFF9ADC"/>
    <w:rsid w:val="FFBE43EE"/>
    <w:rsid w:val="FFFF1F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640" w:firstLineChars="200"/>
      <w:jc w:val="both"/>
    </w:pPr>
    <w:rPr>
      <w:rFonts w:ascii="Times New Roman" w:hAnsi="Times New Roman" w:eastAsia="宋体" w:cs="Times New Roman"/>
      <w:kern w:val="2"/>
      <w:sz w:val="24"/>
      <w:szCs w:val="22"/>
      <w:lang w:val="en-US" w:eastAsia="zh-CN" w:bidi="ar-SA"/>
    </w:rPr>
  </w:style>
  <w:style w:type="paragraph" w:styleId="3">
    <w:name w:val="heading 1"/>
    <w:next w:val="1"/>
    <w:link w:val="20"/>
    <w:autoRedefine/>
    <w:qFormat/>
    <w:uiPriority w:val="9"/>
    <w:pPr>
      <w:keepNext/>
      <w:keepLines/>
      <w:spacing w:line="360" w:lineRule="auto"/>
      <w:outlineLvl w:val="0"/>
    </w:pPr>
    <w:rPr>
      <w:rFonts w:ascii="Arial" w:hAnsi="Arial" w:eastAsia="黑体" w:cs="Times New Roman"/>
      <w:b/>
      <w:bCs/>
      <w:kern w:val="44"/>
      <w:sz w:val="36"/>
      <w:szCs w:val="44"/>
      <w:lang w:val="en-US" w:eastAsia="zh-CN" w:bidi="ar-SA"/>
    </w:rPr>
  </w:style>
  <w:style w:type="paragraph" w:styleId="4">
    <w:name w:val="heading 2"/>
    <w:next w:val="1"/>
    <w:link w:val="21"/>
    <w:autoRedefine/>
    <w:qFormat/>
    <w:uiPriority w:val="9"/>
    <w:pPr>
      <w:keepNext/>
      <w:keepLines/>
      <w:spacing w:line="360" w:lineRule="auto"/>
      <w:outlineLvl w:val="1"/>
    </w:pPr>
    <w:rPr>
      <w:rFonts w:ascii="Cambria" w:hAnsi="Cambria" w:eastAsia="黑体" w:cs="Times New Roman"/>
      <w:b/>
      <w:bCs/>
      <w:sz w:val="30"/>
      <w:szCs w:val="32"/>
      <w:lang w:val="en-US" w:eastAsia="zh-CN" w:bidi="ar-SA"/>
    </w:rPr>
  </w:style>
  <w:style w:type="paragraph" w:styleId="5">
    <w:name w:val="heading 3"/>
    <w:next w:val="1"/>
    <w:link w:val="22"/>
    <w:autoRedefine/>
    <w:qFormat/>
    <w:uiPriority w:val="9"/>
    <w:pPr>
      <w:keepNext/>
      <w:keepLines/>
      <w:spacing w:line="360" w:lineRule="auto"/>
      <w:outlineLvl w:val="2"/>
    </w:pPr>
    <w:rPr>
      <w:rFonts w:ascii="Times New Roman" w:hAnsi="Times New Roman" w:eastAsia="黑体" w:cs="Times New Roman"/>
      <w:bCs/>
      <w:sz w:val="28"/>
      <w:szCs w:val="32"/>
      <w:lang w:val="en-US" w:eastAsia="zh-CN" w:bidi="ar-SA"/>
    </w:rPr>
  </w:style>
  <w:style w:type="paragraph" w:styleId="6">
    <w:name w:val="heading 4"/>
    <w:next w:val="1"/>
    <w:link w:val="23"/>
    <w:autoRedefine/>
    <w:qFormat/>
    <w:uiPriority w:val="9"/>
    <w:pPr>
      <w:keepNext/>
      <w:keepLines/>
      <w:spacing w:line="360" w:lineRule="auto"/>
      <w:jc w:val="center"/>
      <w:outlineLvl w:val="3"/>
    </w:pPr>
    <w:rPr>
      <w:rFonts w:ascii="Cambria" w:hAnsi="Cambria" w:eastAsia="宋体" w:cs="Times New Roman"/>
      <w:bCs/>
      <w:sz w:val="21"/>
      <w:szCs w:val="28"/>
      <w:lang w:val="en-US" w:eastAsia="zh-CN" w:bidi="ar-SA"/>
    </w:rPr>
  </w:style>
  <w:style w:type="character" w:default="1" w:styleId="18">
    <w:name w:val="Default Paragraph Font"/>
    <w:autoRedefine/>
    <w:unhideWhenUsed/>
    <w:qFormat/>
    <w:uiPriority w:val="1"/>
  </w:style>
  <w:style w:type="table" w:default="1" w:styleId="16">
    <w:name w:val="Normal Table"/>
    <w:autoRedefine/>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spacing w:line="560" w:lineRule="exact"/>
      <w:jc w:val="both"/>
    </w:pPr>
    <w:rPr>
      <w:rFonts w:ascii="宋体" w:hAnsi="Calibri" w:eastAsia="宋体" w:cs="宋体"/>
      <w:color w:val="000000"/>
      <w:sz w:val="24"/>
      <w:szCs w:val="24"/>
      <w:lang w:val="en-US" w:eastAsia="zh-CN" w:bidi="ar-SA"/>
    </w:rPr>
  </w:style>
  <w:style w:type="paragraph" w:styleId="7">
    <w:name w:val="annotation text"/>
    <w:basedOn w:val="1"/>
    <w:autoRedefine/>
    <w:qFormat/>
    <w:uiPriority w:val="0"/>
    <w:pPr>
      <w:jc w:val="left"/>
    </w:pPr>
  </w:style>
  <w:style w:type="paragraph" w:styleId="8">
    <w:name w:val="Body Text"/>
    <w:basedOn w:val="1"/>
    <w:autoRedefine/>
    <w:unhideWhenUsed/>
    <w:qFormat/>
    <w:uiPriority w:val="99"/>
    <w:pPr>
      <w:spacing w:after="120"/>
    </w:pPr>
  </w:style>
  <w:style w:type="paragraph" w:styleId="9">
    <w:name w:val="toc 3"/>
    <w:basedOn w:val="1"/>
    <w:next w:val="1"/>
    <w:autoRedefine/>
    <w:qFormat/>
    <w:uiPriority w:val="0"/>
    <w:pPr>
      <w:ind w:left="840" w:leftChars="400"/>
    </w:pPr>
  </w:style>
  <w:style w:type="paragraph" w:styleId="10">
    <w:name w:val="Balloon Text"/>
    <w:basedOn w:val="1"/>
    <w:link w:val="24"/>
    <w:autoRedefine/>
    <w:qFormat/>
    <w:uiPriority w:val="0"/>
    <w:pPr>
      <w:spacing w:line="240" w:lineRule="auto"/>
    </w:pPr>
    <w:rPr>
      <w:sz w:val="18"/>
      <w:szCs w:val="18"/>
    </w:rPr>
  </w:style>
  <w:style w:type="paragraph" w:styleId="11">
    <w:name w:val="footer"/>
    <w:basedOn w:val="1"/>
    <w:link w:val="25"/>
    <w:autoRedefine/>
    <w:qFormat/>
    <w:uiPriority w:val="0"/>
    <w:pPr>
      <w:tabs>
        <w:tab w:val="center" w:pos="4153"/>
        <w:tab w:val="right" w:pos="8306"/>
      </w:tabs>
      <w:snapToGrid w:val="0"/>
      <w:spacing w:line="240" w:lineRule="auto"/>
      <w:jc w:val="left"/>
    </w:pPr>
    <w:rPr>
      <w:sz w:val="18"/>
      <w:szCs w:val="18"/>
    </w:rPr>
  </w:style>
  <w:style w:type="paragraph" w:styleId="12">
    <w:name w:val="header"/>
    <w:basedOn w:val="1"/>
    <w:link w:val="26"/>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3">
    <w:name w:val="toc 1"/>
    <w:basedOn w:val="1"/>
    <w:next w:val="1"/>
    <w:autoRedefine/>
    <w:qFormat/>
    <w:uiPriority w:val="0"/>
  </w:style>
  <w:style w:type="paragraph" w:styleId="14">
    <w:name w:val="toc 2"/>
    <w:basedOn w:val="1"/>
    <w:next w:val="1"/>
    <w:autoRedefine/>
    <w:qFormat/>
    <w:uiPriority w:val="0"/>
    <w:pPr>
      <w:ind w:left="420" w:leftChars="200"/>
    </w:pPr>
  </w:style>
  <w:style w:type="paragraph" w:styleId="15">
    <w:name w:val="Normal (Web)"/>
    <w:basedOn w:val="1"/>
    <w:autoRedefine/>
    <w:unhideWhenUsed/>
    <w:qFormat/>
    <w:uiPriority w:val="99"/>
    <w:pPr>
      <w:spacing w:before="100" w:beforeAutospacing="1" w:after="100" w:afterAutospacing="1"/>
      <w:ind w:left="0" w:right="0"/>
      <w:jc w:val="left"/>
    </w:pPr>
    <w:rPr>
      <w:kern w:val="0"/>
      <w:sz w:val="24"/>
      <w:lang w:val="en-US" w:eastAsia="zh-CN" w:bidi="ar"/>
    </w:rPr>
  </w:style>
  <w:style w:type="table" w:styleId="17">
    <w:name w:val="Table Grid"/>
    <w:basedOn w:val="1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autoRedefine/>
    <w:qFormat/>
    <w:uiPriority w:val="0"/>
    <w:rPr>
      <w:color w:val="0000FF"/>
      <w:u w:val="single"/>
    </w:rPr>
  </w:style>
  <w:style w:type="character" w:customStyle="1" w:styleId="20">
    <w:name w:val="标题 1 Char"/>
    <w:link w:val="3"/>
    <w:autoRedefine/>
    <w:qFormat/>
    <w:uiPriority w:val="9"/>
    <w:rPr>
      <w:rFonts w:ascii="Arial" w:hAnsi="Arial" w:eastAsia="黑体"/>
      <w:b/>
      <w:bCs/>
      <w:kern w:val="44"/>
      <w:sz w:val="36"/>
      <w:szCs w:val="44"/>
    </w:rPr>
  </w:style>
  <w:style w:type="character" w:customStyle="1" w:styleId="21">
    <w:name w:val="标题 2 Char"/>
    <w:link w:val="4"/>
    <w:autoRedefine/>
    <w:qFormat/>
    <w:uiPriority w:val="9"/>
    <w:rPr>
      <w:rFonts w:ascii="Cambria" w:hAnsi="Cambria" w:eastAsia="黑体" w:cs="Times New Roman"/>
      <w:b/>
      <w:bCs/>
      <w:sz w:val="30"/>
      <w:szCs w:val="32"/>
    </w:rPr>
  </w:style>
  <w:style w:type="character" w:customStyle="1" w:styleId="22">
    <w:name w:val="标题 3 Char"/>
    <w:link w:val="5"/>
    <w:autoRedefine/>
    <w:qFormat/>
    <w:uiPriority w:val="9"/>
    <w:rPr>
      <w:rFonts w:ascii="Times New Roman" w:hAnsi="Times New Roman" w:eastAsia="黑体"/>
      <w:bCs/>
      <w:kern w:val="2"/>
      <w:sz w:val="28"/>
      <w:szCs w:val="32"/>
    </w:rPr>
  </w:style>
  <w:style w:type="character" w:customStyle="1" w:styleId="23">
    <w:name w:val="标题 4 Char"/>
    <w:link w:val="6"/>
    <w:autoRedefine/>
    <w:qFormat/>
    <w:uiPriority w:val="9"/>
    <w:rPr>
      <w:rFonts w:ascii="Cambria" w:hAnsi="Cambria" w:eastAsia="宋体"/>
      <w:bCs/>
      <w:kern w:val="2"/>
      <w:sz w:val="21"/>
      <w:szCs w:val="28"/>
    </w:rPr>
  </w:style>
  <w:style w:type="character" w:customStyle="1" w:styleId="24">
    <w:name w:val="批注框文本 Char"/>
    <w:link w:val="10"/>
    <w:autoRedefine/>
    <w:qFormat/>
    <w:uiPriority w:val="0"/>
    <w:rPr>
      <w:kern w:val="2"/>
      <w:sz w:val="18"/>
      <w:szCs w:val="18"/>
    </w:rPr>
  </w:style>
  <w:style w:type="character" w:customStyle="1" w:styleId="25">
    <w:name w:val="页脚 Char"/>
    <w:link w:val="11"/>
    <w:autoRedefine/>
    <w:qFormat/>
    <w:uiPriority w:val="0"/>
    <w:rPr>
      <w:kern w:val="2"/>
      <w:sz w:val="18"/>
      <w:szCs w:val="18"/>
    </w:rPr>
  </w:style>
  <w:style w:type="character" w:customStyle="1" w:styleId="26">
    <w:name w:val="页眉 Char"/>
    <w:link w:val="12"/>
    <w:autoRedefine/>
    <w:qFormat/>
    <w:uiPriority w:val="0"/>
    <w:rPr>
      <w:kern w:val="2"/>
      <w:sz w:val="18"/>
      <w:szCs w:val="18"/>
    </w:rPr>
  </w:style>
  <w:style w:type="paragraph" w:customStyle="1" w:styleId="27">
    <w:name w:val="WPSOffice手动目录 1"/>
    <w:autoRedefine/>
    <w:qFormat/>
    <w:uiPriority w:val="0"/>
    <w:rPr>
      <w:rFonts w:ascii="Times New Roman" w:hAnsi="Times New Roman" w:eastAsia="宋体" w:cs="Times New Roman"/>
      <w:lang w:val="en-US" w:eastAsia="zh-CN" w:bidi="ar-SA"/>
    </w:rPr>
  </w:style>
  <w:style w:type="paragraph" w:customStyle="1" w:styleId="28">
    <w:name w:val="图表"/>
    <w:autoRedefine/>
    <w:qFormat/>
    <w:uiPriority w:val="0"/>
    <w:pPr>
      <w:spacing w:line="480" w:lineRule="auto"/>
      <w:jc w:val="center"/>
    </w:pPr>
    <w:rPr>
      <w:rFonts w:ascii="Times New Roman" w:hAnsi="Times New Roman" w:eastAsia="宋体" w:cs="Times New Roman"/>
      <w:sz w:val="21"/>
      <w:szCs w:val="24"/>
      <w:lang w:val="en-US" w:eastAsia="zh-CN" w:bidi="ar-SA"/>
    </w:rPr>
  </w:style>
  <w:style w:type="paragraph" w:customStyle="1" w:styleId="29">
    <w:name w:val="WPSOffice手动目录 2"/>
    <w:autoRedefine/>
    <w:qFormat/>
    <w:uiPriority w:val="0"/>
    <w:pPr>
      <w:ind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2.emf"/><Relationship Id="rId13" Type="http://schemas.openxmlformats.org/officeDocument/2006/relationships/image" Target="media/image1.emf"/><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9344</Words>
  <Characters>10039</Characters>
  <Lines>73</Lines>
  <Paragraphs>20</Paragraphs>
  <TotalTime>4</TotalTime>
  <ScaleCrop>false</ScaleCrop>
  <LinksUpToDate>false</LinksUpToDate>
  <CharactersWithSpaces>10077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2022-03-25T19:18:00Z</dcterms:created>
  <dc:creator>Lenovo</dc:creator>
  <cp:lastModifiedBy>豆豆龙Pinky</cp:lastModifiedBy>
  <cp:lastPrinted>2022-03-31T18:20:00Z</cp:lastPrinted>
  <dcterms:modified xsi:type="dcterms:W3CDTF">2024-03-18T13:56:52Z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DBE63A94CD7443DC84EB7052F587AF10_13</vt:lpwstr>
  </property>
  <property fmtid="{D5CDD505-2E9C-101B-9397-08002B2CF9AE}" pid="4" name="commondata">
    <vt:lpwstr>eyJoZGlkIjoiZGNkMjhlYWViZTliNmI1MDQ3MmY5NGU2YjVhYzQxZDMifQ==</vt:lpwstr>
  </property>
</Properties>
</file>